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1B1A98">
        <w:trPr>
          <w:trHeight w:val="1418"/>
        </w:trPr>
        <w:tc>
          <w:tcPr>
            <w:tcW w:w="7825" w:type="dxa"/>
            <w:vAlign w:val="bottom"/>
          </w:tcPr>
          <w:p w14:paraId="1B06FE4C" w14:textId="6F994100" w:rsidR="00AD784C" w:rsidRPr="0009050A" w:rsidRDefault="00B04FFE" w:rsidP="0016037B">
            <w:pPr>
              <w:pStyle w:val="Documenttitle"/>
            </w:pPr>
            <w:r>
              <w:t xml:space="preserve">Mandatory Minimum Qualifications Policy </w:t>
            </w:r>
          </w:p>
        </w:tc>
      </w:tr>
      <w:tr w:rsidR="000B2117" w14:paraId="5DF317EC" w14:textId="77777777" w:rsidTr="001B1A98">
        <w:trPr>
          <w:trHeight w:val="1247"/>
        </w:trPr>
        <w:tc>
          <w:tcPr>
            <w:tcW w:w="7825" w:type="dxa"/>
          </w:tcPr>
          <w:p w14:paraId="69C24C39" w14:textId="44EEEA69" w:rsidR="000B2117" w:rsidRPr="0016037B" w:rsidRDefault="00B04FFE" w:rsidP="0016037B">
            <w:pPr>
              <w:pStyle w:val="Documentsubtitle"/>
            </w:pPr>
            <w:r>
              <w:t xml:space="preserve">Case studies </w:t>
            </w:r>
            <w:r w:rsidR="00443B31">
              <w:t>to support</w:t>
            </w:r>
            <w:r>
              <w:t xml:space="preserve"> implementation </w:t>
            </w:r>
          </w:p>
        </w:tc>
      </w:tr>
      <w:tr w:rsidR="00CF4148" w14:paraId="5F5E6105" w14:textId="77777777" w:rsidTr="001B1A98">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0CBF5D9A" w14:textId="153295C1" w:rsidR="00AD784C" w:rsidRPr="00B57329" w:rsidRDefault="00AD784C" w:rsidP="002365B4">
      <w:pPr>
        <w:pStyle w:val="TOCheadingfactsheet"/>
      </w:pPr>
      <w:r w:rsidRPr="00B57329">
        <w:t>Contents</w:t>
      </w:r>
    </w:p>
    <w:p w14:paraId="65CAE790" w14:textId="42257E70" w:rsidR="009248D8" w:rsidRDefault="002769E3">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"1-4" \h \z \u </w:instrText>
      </w:r>
      <w:r>
        <w:rPr>
          <w:b w:val="0"/>
        </w:rPr>
        <w:fldChar w:fldCharType="separate"/>
      </w:r>
      <w:hyperlink w:anchor="_Toc223353152" w:history="1">
        <w:r w:rsidR="009248D8" w:rsidRPr="004F03D9">
          <w:rPr>
            <w:rStyle w:val="Hyperlink"/>
          </w:rPr>
          <w:t>MMQ Policy Case Studies</w:t>
        </w:r>
        <w:r w:rsidR="009248D8">
          <w:rPr>
            <w:webHidden/>
          </w:rPr>
          <w:tab/>
        </w:r>
        <w:r w:rsidR="009248D8">
          <w:rPr>
            <w:webHidden/>
          </w:rPr>
          <w:fldChar w:fldCharType="begin"/>
        </w:r>
        <w:r w:rsidR="009248D8">
          <w:rPr>
            <w:webHidden/>
          </w:rPr>
          <w:instrText xml:space="preserve"> PAGEREF _Toc223353152 \h </w:instrText>
        </w:r>
        <w:r w:rsidR="009248D8">
          <w:rPr>
            <w:webHidden/>
          </w:rPr>
        </w:r>
        <w:r w:rsidR="009248D8">
          <w:rPr>
            <w:webHidden/>
          </w:rPr>
          <w:fldChar w:fldCharType="separate"/>
        </w:r>
        <w:r w:rsidR="009248D8">
          <w:rPr>
            <w:webHidden/>
          </w:rPr>
          <w:t>1</w:t>
        </w:r>
        <w:r w:rsidR="009248D8">
          <w:rPr>
            <w:webHidden/>
          </w:rPr>
          <w:fldChar w:fldCharType="end"/>
        </w:r>
      </w:hyperlink>
    </w:p>
    <w:p w14:paraId="34226E48" w14:textId="7A97B283" w:rsidR="009248D8" w:rsidRDefault="009248D8">
      <w:pPr>
        <w:pStyle w:val="TOC2"/>
        <w:rPr>
          <w:rFonts w:asciiTheme="minorHAnsi" w:eastAsiaTheme="minorEastAsia" w:hAnsiTheme="minorHAnsi" w:cstheme="minorBidi"/>
          <w:kern w:val="2"/>
          <w:sz w:val="24"/>
          <w:szCs w:val="24"/>
          <w:lang w:eastAsia="en-AU"/>
          <w14:ligatures w14:val="standardContextual"/>
        </w:rPr>
      </w:pPr>
      <w:hyperlink w:anchor="_Toc223353153" w:history="1">
        <w:r w:rsidRPr="004F03D9">
          <w:rPr>
            <w:rStyle w:val="Hyperlink"/>
            <w:bCs/>
          </w:rPr>
          <w:t>Qualification requirement</w:t>
        </w:r>
        <w:r>
          <w:rPr>
            <w:webHidden/>
          </w:rPr>
          <w:tab/>
        </w:r>
        <w:r>
          <w:rPr>
            <w:webHidden/>
          </w:rPr>
          <w:fldChar w:fldCharType="begin"/>
        </w:r>
        <w:r>
          <w:rPr>
            <w:webHidden/>
          </w:rPr>
          <w:instrText xml:space="preserve"> PAGEREF _Toc223353153 \h </w:instrText>
        </w:r>
        <w:r>
          <w:rPr>
            <w:webHidden/>
          </w:rPr>
        </w:r>
        <w:r>
          <w:rPr>
            <w:webHidden/>
          </w:rPr>
          <w:fldChar w:fldCharType="separate"/>
        </w:r>
        <w:r>
          <w:rPr>
            <w:webHidden/>
          </w:rPr>
          <w:t>1</w:t>
        </w:r>
        <w:r>
          <w:rPr>
            <w:webHidden/>
          </w:rPr>
          <w:fldChar w:fldCharType="end"/>
        </w:r>
      </w:hyperlink>
    </w:p>
    <w:p w14:paraId="27ED9A5F" w14:textId="5C5F11D5" w:rsidR="009248D8" w:rsidRDefault="009248D8">
      <w:pPr>
        <w:pStyle w:val="TOC3"/>
        <w:rPr>
          <w:rFonts w:asciiTheme="minorHAnsi" w:eastAsiaTheme="minorEastAsia" w:hAnsiTheme="minorHAnsi" w:cstheme="minorBidi"/>
          <w:noProof/>
          <w:kern w:val="2"/>
          <w:sz w:val="24"/>
          <w:szCs w:val="24"/>
          <w:lang w:eastAsia="en-AU"/>
          <w14:ligatures w14:val="standardContextual"/>
        </w:rPr>
      </w:pPr>
      <w:hyperlink w:anchor="_Toc223353154" w:history="1">
        <w:r w:rsidRPr="004F03D9">
          <w:rPr>
            <w:rStyle w:val="Hyperlink"/>
            <w:noProof/>
          </w:rPr>
          <w:t>Case study 1</w:t>
        </w:r>
        <w:r>
          <w:rPr>
            <w:noProof/>
            <w:webHidden/>
          </w:rPr>
          <w:tab/>
        </w:r>
        <w:r>
          <w:rPr>
            <w:noProof/>
            <w:webHidden/>
          </w:rPr>
          <w:fldChar w:fldCharType="begin"/>
        </w:r>
        <w:r>
          <w:rPr>
            <w:noProof/>
            <w:webHidden/>
          </w:rPr>
          <w:instrText xml:space="preserve"> PAGEREF _Toc223353154 \h </w:instrText>
        </w:r>
        <w:r>
          <w:rPr>
            <w:noProof/>
            <w:webHidden/>
          </w:rPr>
        </w:r>
        <w:r>
          <w:rPr>
            <w:noProof/>
            <w:webHidden/>
          </w:rPr>
          <w:fldChar w:fldCharType="separate"/>
        </w:r>
        <w:r>
          <w:rPr>
            <w:noProof/>
            <w:webHidden/>
          </w:rPr>
          <w:t>2</w:t>
        </w:r>
        <w:r>
          <w:rPr>
            <w:noProof/>
            <w:webHidden/>
          </w:rPr>
          <w:fldChar w:fldCharType="end"/>
        </w:r>
      </w:hyperlink>
    </w:p>
    <w:p w14:paraId="6147FCA9" w14:textId="0749232E" w:rsidR="009248D8" w:rsidRDefault="009248D8">
      <w:pPr>
        <w:pStyle w:val="TOC3"/>
        <w:rPr>
          <w:rFonts w:asciiTheme="minorHAnsi" w:eastAsiaTheme="minorEastAsia" w:hAnsiTheme="minorHAnsi" w:cstheme="minorBidi"/>
          <w:noProof/>
          <w:kern w:val="2"/>
          <w:sz w:val="24"/>
          <w:szCs w:val="24"/>
          <w:lang w:eastAsia="en-AU"/>
          <w14:ligatures w14:val="standardContextual"/>
        </w:rPr>
      </w:pPr>
      <w:hyperlink w:anchor="_Toc223353155" w:history="1">
        <w:r w:rsidRPr="004F03D9">
          <w:rPr>
            <w:rStyle w:val="Hyperlink"/>
            <w:noProof/>
          </w:rPr>
          <w:t>Case study 2</w:t>
        </w:r>
        <w:r>
          <w:rPr>
            <w:noProof/>
            <w:webHidden/>
          </w:rPr>
          <w:tab/>
        </w:r>
        <w:r>
          <w:rPr>
            <w:noProof/>
            <w:webHidden/>
          </w:rPr>
          <w:fldChar w:fldCharType="begin"/>
        </w:r>
        <w:r>
          <w:rPr>
            <w:noProof/>
            <w:webHidden/>
          </w:rPr>
          <w:instrText xml:space="preserve"> PAGEREF _Toc223353155 \h </w:instrText>
        </w:r>
        <w:r>
          <w:rPr>
            <w:noProof/>
            <w:webHidden/>
          </w:rPr>
        </w:r>
        <w:r>
          <w:rPr>
            <w:noProof/>
            <w:webHidden/>
          </w:rPr>
          <w:fldChar w:fldCharType="separate"/>
        </w:r>
        <w:r>
          <w:rPr>
            <w:noProof/>
            <w:webHidden/>
          </w:rPr>
          <w:t>2</w:t>
        </w:r>
        <w:r>
          <w:rPr>
            <w:noProof/>
            <w:webHidden/>
          </w:rPr>
          <w:fldChar w:fldCharType="end"/>
        </w:r>
      </w:hyperlink>
    </w:p>
    <w:p w14:paraId="21B4CA8B" w14:textId="2E3693EA" w:rsidR="009248D8" w:rsidRDefault="009248D8">
      <w:pPr>
        <w:pStyle w:val="TOC2"/>
        <w:rPr>
          <w:rFonts w:asciiTheme="minorHAnsi" w:eastAsiaTheme="minorEastAsia" w:hAnsiTheme="minorHAnsi" w:cstheme="minorBidi"/>
          <w:kern w:val="2"/>
          <w:sz w:val="24"/>
          <w:szCs w:val="24"/>
          <w:lang w:eastAsia="en-AU"/>
          <w14:ligatures w14:val="standardContextual"/>
        </w:rPr>
      </w:pPr>
      <w:hyperlink w:anchor="_Toc223353156" w:history="1">
        <w:r w:rsidRPr="004F03D9">
          <w:rPr>
            <w:rStyle w:val="Hyperlink"/>
          </w:rPr>
          <w:t>‘Working towards’ pathway</w:t>
        </w:r>
        <w:r>
          <w:rPr>
            <w:webHidden/>
          </w:rPr>
          <w:tab/>
        </w:r>
        <w:r>
          <w:rPr>
            <w:webHidden/>
          </w:rPr>
          <w:fldChar w:fldCharType="begin"/>
        </w:r>
        <w:r>
          <w:rPr>
            <w:webHidden/>
          </w:rPr>
          <w:instrText xml:space="preserve"> PAGEREF _Toc223353156 \h </w:instrText>
        </w:r>
        <w:r>
          <w:rPr>
            <w:webHidden/>
          </w:rPr>
        </w:r>
        <w:r>
          <w:rPr>
            <w:webHidden/>
          </w:rPr>
          <w:fldChar w:fldCharType="separate"/>
        </w:r>
        <w:r>
          <w:rPr>
            <w:webHidden/>
          </w:rPr>
          <w:t>2</w:t>
        </w:r>
        <w:r>
          <w:rPr>
            <w:webHidden/>
          </w:rPr>
          <w:fldChar w:fldCharType="end"/>
        </w:r>
      </w:hyperlink>
    </w:p>
    <w:p w14:paraId="2FCB0699" w14:textId="53E09AFC" w:rsidR="009248D8" w:rsidRDefault="009248D8">
      <w:pPr>
        <w:pStyle w:val="TOC3"/>
        <w:rPr>
          <w:rFonts w:asciiTheme="minorHAnsi" w:eastAsiaTheme="minorEastAsia" w:hAnsiTheme="minorHAnsi" w:cstheme="minorBidi"/>
          <w:noProof/>
          <w:kern w:val="2"/>
          <w:sz w:val="24"/>
          <w:szCs w:val="24"/>
          <w:lang w:eastAsia="en-AU"/>
          <w14:ligatures w14:val="standardContextual"/>
        </w:rPr>
      </w:pPr>
      <w:hyperlink w:anchor="_Toc223353157" w:history="1">
        <w:r w:rsidRPr="004F03D9">
          <w:rPr>
            <w:rStyle w:val="Hyperlink"/>
            <w:noProof/>
          </w:rPr>
          <w:t>Case study 3</w:t>
        </w:r>
        <w:r>
          <w:rPr>
            <w:noProof/>
            <w:webHidden/>
          </w:rPr>
          <w:tab/>
        </w:r>
        <w:r>
          <w:rPr>
            <w:noProof/>
            <w:webHidden/>
          </w:rPr>
          <w:fldChar w:fldCharType="begin"/>
        </w:r>
        <w:r>
          <w:rPr>
            <w:noProof/>
            <w:webHidden/>
          </w:rPr>
          <w:instrText xml:space="preserve"> PAGEREF _Toc223353157 \h </w:instrText>
        </w:r>
        <w:r>
          <w:rPr>
            <w:noProof/>
            <w:webHidden/>
          </w:rPr>
        </w:r>
        <w:r>
          <w:rPr>
            <w:noProof/>
            <w:webHidden/>
          </w:rPr>
          <w:fldChar w:fldCharType="separate"/>
        </w:r>
        <w:r>
          <w:rPr>
            <w:noProof/>
            <w:webHidden/>
          </w:rPr>
          <w:t>2</w:t>
        </w:r>
        <w:r>
          <w:rPr>
            <w:noProof/>
            <w:webHidden/>
          </w:rPr>
          <w:fldChar w:fldCharType="end"/>
        </w:r>
      </w:hyperlink>
    </w:p>
    <w:p w14:paraId="1AC8D5BB" w14:textId="1344D5BA" w:rsidR="009248D8" w:rsidRDefault="009248D8">
      <w:pPr>
        <w:pStyle w:val="TOC3"/>
        <w:rPr>
          <w:rFonts w:asciiTheme="minorHAnsi" w:eastAsiaTheme="minorEastAsia" w:hAnsiTheme="minorHAnsi" w:cstheme="minorBidi"/>
          <w:noProof/>
          <w:kern w:val="2"/>
          <w:sz w:val="24"/>
          <w:szCs w:val="24"/>
          <w:lang w:eastAsia="en-AU"/>
          <w14:ligatures w14:val="standardContextual"/>
        </w:rPr>
      </w:pPr>
      <w:hyperlink w:anchor="_Toc223353158" w:history="1">
        <w:r w:rsidRPr="004F03D9">
          <w:rPr>
            <w:rStyle w:val="Hyperlink"/>
            <w:noProof/>
          </w:rPr>
          <w:t>Case study 4</w:t>
        </w:r>
        <w:r>
          <w:rPr>
            <w:noProof/>
            <w:webHidden/>
          </w:rPr>
          <w:tab/>
        </w:r>
        <w:r>
          <w:rPr>
            <w:noProof/>
            <w:webHidden/>
          </w:rPr>
          <w:fldChar w:fldCharType="begin"/>
        </w:r>
        <w:r>
          <w:rPr>
            <w:noProof/>
            <w:webHidden/>
          </w:rPr>
          <w:instrText xml:space="preserve"> PAGEREF _Toc223353158 \h </w:instrText>
        </w:r>
        <w:r>
          <w:rPr>
            <w:noProof/>
            <w:webHidden/>
          </w:rPr>
        </w:r>
        <w:r>
          <w:rPr>
            <w:noProof/>
            <w:webHidden/>
          </w:rPr>
          <w:fldChar w:fldCharType="separate"/>
        </w:r>
        <w:r>
          <w:rPr>
            <w:noProof/>
            <w:webHidden/>
          </w:rPr>
          <w:t>3</w:t>
        </w:r>
        <w:r>
          <w:rPr>
            <w:noProof/>
            <w:webHidden/>
          </w:rPr>
          <w:fldChar w:fldCharType="end"/>
        </w:r>
      </w:hyperlink>
    </w:p>
    <w:p w14:paraId="25BC189D" w14:textId="5B60483D" w:rsidR="009248D8" w:rsidRDefault="009248D8">
      <w:pPr>
        <w:pStyle w:val="TOC2"/>
        <w:rPr>
          <w:rFonts w:asciiTheme="minorHAnsi" w:eastAsiaTheme="minorEastAsia" w:hAnsiTheme="minorHAnsi" w:cstheme="minorBidi"/>
          <w:kern w:val="2"/>
          <w:sz w:val="24"/>
          <w:szCs w:val="24"/>
          <w:lang w:eastAsia="en-AU"/>
          <w14:ligatures w14:val="standardContextual"/>
        </w:rPr>
      </w:pPr>
      <w:hyperlink w:anchor="_Toc223353159" w:history="1">
        <w:r w:rsidRPr="004F03D9">
          <w:rPr>
            <w:rStyle w:val="Hyperlink"/>
          </w:rPr>
          <w:t>Workforce scope</w:t>
        </w:r>
        <w:r>
          <w:rPr>
            <w:webHidden/>
          </w:rPr>
          <w:tab/>
        </w:r>
        <w:r>
          <w:rPr>
            <w:webHidden/>
          </w:rPr>
          <w:fldChar w:fldCharType="begin"/>
        </w:r>
        <w:r>
          <w:rPr>
            <w:webHidden/>
          </w:rPr>
          <w:instrText xml:space="preserve"> PAGEREF _Toc223353159 \h </w:instrText>
        </w:r>
        <w:r>
          <w:rPr>
            <w:webHidden/>
          </w:rPr>
        </w:r>
        <w:r>
          <w:rPr>
            <w:webHidden/>
          </w:rPr>
          <w:fldChar w:fldCharType="separate"/>
        </w:r>
        <w:r>
          <w:rPr>
            <w:webHidden/>
          </w:rPr>
          <w:t>3</w:t>
        </w:r>
        <w:r>
          <w:rPr>
            <w:webHidden/>
          </w:rPr>
          <w:fldChar w:fldCharType="end"/>
        </w:r>
      </w:hyperlink>
    </w:p>
    <w:p w14:paraId="3C0902EC" w14:textId="4253561A" w:rsidR="009248D8" w:rsidRDefault="009248D8">
      <w:pPr>
        <w:pStyle w:val="TOC3"/>
        <w:rPr>
          <w:rFonts w:asciiTheme="minorHAnsi" w:eastAsiaTheme="minorEastAsia" w:hAnsiTheme="minorHAnsi" w:cstheme="minorBidi"/>
          <w:noProof/>
          <w:kern w:val="2"/>
          <w:sz w:val="24"/>
          <w:szCs w:val="24"/>
          <w:lang w:eastAsia="en-AU"/>
          <w14:ligatures w14:val="standardContextual"/>
        </w:rPr>
      </w:pPr>
      <w:hyperlink w:anchor="_Toc223353160" w:history="1">
        <w:r w:rsidRPr="004F03D9">
          <w:rPr>
            <w:rStyle w:val="Hyperlink"/>
            <w:noProof/>
          </w:rPr>
          <w:t>Case study 5</w:t>
        </w:r>
        <w:r>
          <w:rPr>
            <w:noProof/>
            <w:webHidden/>
          </w:rPr>
          <w:tab/>
        </w:r>
        <w:r>
          <w:rPr>
            <w:noProof/>
            <w:webHidden/>
          </w:rPr>
          <w:fldChar w:fldCharType="begin"/>
        </w:r>
        <w:r>
          <w:rPr>
            <w:noProof/>
            <w:webHidden/>
          </w:rPr>
          <w:instrText xml:space="preserve"> PAGEREF _Toc223353160 \h </w:instrText>
        </w:r>
        <w:r>
          <w:rPr>
            <w:noProof/>
            <w:webHidden/>
          </w:rPr>
        </w:r>
        <w:r>
          <w:rPr>
            <w:noProof/>
            <w:webHidden/>
          </w:rPr>
          <w:fldChar w:fldCharType="separate"/>
        </w:r>
        <w:r>
          <w:rPr>
            <w:noProof/>
            <w:webHidden/>
          </w:rPr>
          <w:t>3</w:t>
        </w:r>
        <w:r>
          <w:rPr>
            <w:noProof/>
            <w:webHidden/>
          </w:rPr>
          <w:fldChar w:fldCharType="end"/>
        </w:r>
      </w:hyperlink>
    </w:p>
    <w:p w14:paraId="40C1E0F1" w14:textId="30AD289B" w:rsidR="009248D8" w:rsidRDefault="009248D8">
      <w:pPr>
        <w:pStyle w:val="TOC3"/>
        <w:rPr>
          <w:rFonts w:asciiTheme="minorHAnsi" w:eastAsiaTheme="minorEastAsia" w:hAnsiTheme="minorHAnsi" w:cstheme="minorBidi"/>
          <w:noProof/>
          <w:kern w:val="2"/>
          <w:sz w:val="24"/>
          <w:szCs w:val="24"/>
          <w:lang w:eastAsia="en-AU"/>
          <w14:ligatures w14:val="standardContextual"/>
        </w:rPr>
      </w:pPr>
      <w:hyperlink w:anchor="_Toc223353161" w:history="1">
        <w:r w:rsidRPr="004F03D9">
          <w:rPr>
            <w:rStyle w:val="Hyperlink"/>
            <w:noProof/>
          </w:rPr>
          <w:t>Case study 6</w:t>
        </w:r>
        <w:r>
          <w:rPr>
            <w:noProof/>
            <w:webHidden/>
          </w:rPr>
          <w:tab/>
        </w:r>
        <w:r>
          <w:rPr>
            <w:noProof/>
            <w:webHidden/>
          </w:rPr>
          <w:fldChar w:fldCharType="begin"/>
        </w:r>
        <w:r>
          <w:rPr>
            <w:noProof/>
            <w:webHidden/>
          </w:rPr>
          <w:instrText xml:space="preserve"> PAGEREF _Toc223353161 \h </w:instrText>
        </w:r>
        <w:r>
          <w:rPr>
            <w:noProof/>
            <w:webHidden/>
          </w:rPr>
        </w:r>
        <w:r>
          <w:rPr>
            <w:noProof/>
            <w:webHidden/>
          </w:rPr>
          <w:fldChar w:fldCharType="separate"/>
        </w:r>
        <w:r>
          <w:rPr>
            <w:noProof/>
            <w:webHidden/>
          </w:rPr>
          <w:t>4</w:t>
        </w:r>
        <w:r>
          <w:rPr>
            <w:noProof/>
            <w:webHidden/>
          </w:rPr>
          <w:fldChar w:fldCharType="end"/>
        </w:r>
      </w:hyperlink>
    </w:p>
    <w:p w14:paraId="68DF42C8" w14:textId="37B67A15" w:rsidR="009248D8" w:rsidRDefault="009248D8">
      <w:pPr>
        <w:pStyle w:val="TOC3"/>
        <w:rPr>
          <w:rFonts w:asciiTheme="minorHAnsi" w:eastAsiaTheme="minorEastAsia" w:hAnsiTheme="minorHAnsi" w:cstheme="minorBidi"/>
          <w:noProof/>
          <w:kern w:val="2"/>
          <w:sz w:val="24"/>
          <w:szCs w:val="24"/>
          <w:lang w:eastAsia="en-AU"/>
          <w14:ligatures w14:val="standardContextual"/>
        </w:rPr>
      </w:pPr>
      <w:hyperlink w:anchor="_Toc223353162" w:history="1">
        <w:r w:rsidRPr="004F03D9">
          <w:rPr>
            <w:rStyle w:val="Hyperlink"/>
            <w:noProof/>
          </w:rPr>
          <w:t>Case study 7</w:t>
        </w:r>
        <w:r>
          <w:rPr>
            <w:noProof/>
            <w:webHidden/>
          </w:rPr>
          <w:tab/>
        </w:r>
        <w:r>
          <w:rPr>
            <w:noProof/>
            <w:webHidden/>
          </w:rPr>
          <w:fldChar w:fldCharType="begin"/>
        </w:r>
        <w:r>
          <w:rPr>
            <w:noProof/>
            <w:webHidden/>
          </w:rPr>
          <w:instrText xml:space="preserve"> PAGEREF _Toc223353162 \h </w:instrText>
        </w:r>
        <w:r>
          <w:rPr>
            <w:noProof/>
            <w:webHidden/>
          </w:rPr>
        </w:r>
        <w:r>
          <w:rPr>
            <w:noProof/>
            <w:webHidden/>
          </w:rPr>
          <w:fldChar w:fldCharType="separate"/>
        </w:r>
        <w:r>
          <w:rPr>
            <w:noProof/>
            <w:webHidden/>
          </w:rPr>
          <w:t>4</w:t>
        </w:r>
        <w:r>
          <w:rPr>
            <w:noProof/>
            <w:webHidden/>
          </w:rPr>
          <w:fldChar w:fldCharType="end"/>
        </w:r>
      </w:hyperlink>
    </w:p>
    <w:p w14:paraId="5811EC90" w14:textId="4AF547B7" w:rsidR="009248D8" w:rsidRDefault="009248D8">
      <w:pPr>
        <w:pStyle w:val="TOC3"/>
        <w:rPr>
          <w:rFonts w:asciiTheme="minorHAnsi" w:eastAsiaTheme="minorEastAsia" w:hAnsiTheme="minorHAnsi" w:cstheme="minorBidi"/>
          <w:noProof/>
          <w:kern w:val="2"/>
          <w:sz w:val="24"/>
          <w:szCs w:val="24"/>
          <w:lang w:eastAsia="en-AU"/>
          <w14:ligatures w14:val="standardContextual"/>
        </w:rPr>
      </w:pPr>
      <w:hyperlink w:anchor="_Toc223353163" w:history="1">
        <w:r w:rsidRPr="004F03D9">
          <w:rPr>
            <w:rStyle w:val="Hyperlink"/>
            <w:noProof/>
          </w:rPr>
          <w:t>Case study 8</w:t>
        </w:r>
        <w:r>
          <w:rPr>
            <w:noProof/>
            <w:webHidden/>
          </w:rPr>
          <w:tab/>
        </w:r>
        <w:r>
          <w:rPr>
            <w:noProof/>
            <w:webHidden/>
          </w:rPr>
          <w:fldChar w:fldCharType="begin"/>
        </w:r>
        <w:r>
          <w:rPr>
            <w:noProof/>
            <w:webHidden/>
          </w:rPr>
          <w:instrText xml:space="preserve"> PAGEREF _Toc223353163 \h </w:instrText>
        </w:r>
        <w:r>
          <w:rPr>
            <w:noProof/>
            <w:webHidden/>
          </w:rPr>
        </w:r>
        <w:r>
          <w:rPr>
            <w:noProof/>
            <w:webHidden/>
          </w:rPr>
          <w:fldChar w:fldCharType="separate"/>
        </w:r>
        <w:r>
          <w:rPr>
            <w:noProof/>
            <w:webHidden/>
          </w:rPr>
          <w:t>4</w:t>
        </w:r>
        <w:r>
          <w:rPr>
            <w:noProof/>
            <w:webHidden/>
          </w:rPr>
          <w:fldChar w:fldCharType="end"/>
        </w:r>
      </w:hyperlink>
    </w:p>
    <w:p w14:paraId="42AD3E75" w14:textId="5D0FBD99" w:rsidR="009248D8" w:rsidRDefault="009248D8">
      <w:pPr>
        <w:pStyle w:val="TOC3"/>
        <w:rPr>
          <w:rFonts w:asciiTheme="minorHAnsi" w:eastAsiaTheme="minorEastAsia" w:hAnsiTheme="minorHAnsi" w:cstheme="minorBidi"/>
          <w:noProof/>
          <w:kern w:val="2"/>
          <w:sz w:val="24"/>
          <w:szCs w:val="24"/>
          <w:lang w:eastAsia="en-AU"/>
          <w14:ligatures w14:val="standardContextual"/>
        </w:rPr>
      </w:pPr>
      <w:hyperlink w:anchor="_Toc223353164" w:history="1">
        <w:r w:rsidRPr="004F03D9">
          <w:rPr>
            <w:rStyle w:val="Hyperlink"/>
            <w:noProof/>
          </w:rPr>
          <w:t>Case study 9</w:t>
        </w:r>
        <w:r>
          <w:rPr>
            <w:noProof/>
            <w:webHidden/>
          </w:rPr>
          <w:tab/>
        </w:r>
        <w:r>
          <w:rPr>
            <w:noProof/>
            <w:webHidden/>
          </w:rPr>
          <w:fldChar w:fldCharType="begin"/>
        </w:r>
        <w:r>
          <w:rPr>
            <w:noProof/>
            <w:webHidden/>
          </w:rPr>
          <w:instrText xml:space="preserve"> PAGEREF _Toc223353164 \h </w:instrText>
        </w:r>
        <w:r>
          <w:rPr>
            <w:noProof/>
            <w:webHidden/>
          </w:rPr>
        </w:r>
        <w:r>
          <w:rPr>
            <w:noProof/>
            <w:webHidden/>
          </w:rPr>
          <w:fldChar w:fldCharType="separate"/>
        </w:r>
        <w:r>
          <w:rPr>
            <w:noProof/>
            <w:webHidden/>
          </w:rPr>
          <w:t>4</w:t>
        </w:r>
        <w:r>
          <w:rPr>
            <w:noProof/>
            <w:webHidden/>
          </w:rPr>
          <w:fldChar w:fldCharType="end"/>
        </w:r>
      </w:hyperlink>
    </w:p>
    <w:p w14:paraId="0B41E8CC" w14:textId="7956F33B" w:rsidR="009248D8" w:rsidRDefault="009248D8">
      <w:pPr>
        <w:pStyle w:val="TOC2"/>
        <w:rPr>
          <w:rFonts w:asciiTheme="minorHAnsi" w:eastAsiaTheme="minorEastAsia" w:hAnsiTheme="minorHAnsi" w:cstheme="minorBidi"/>
          <w:kern w:val="2"/>
          <w:sz w:val="24"/>
          <w:szCs w:val="24"/>
          <w:lang w:eastAsia="en-AU"/>
          <w14:ligatures w14:val="standardContextual"/>
        </w:rPr>
      </w:pPr>
      <w:hyperlink w:anchor="_Toc223353165" w:history="1">
        <w:r w:rsidRPr="004F03D9">
          <w:rPr>
            <w:rStyle w:val="Hyperlink"/>
          </w:rPr>
          <w:t>Practitioner exemption</w:t>
        </w:r>
        <w:r>
          <w:rPr>
            <w:webHidden/>
          </w:rPr>
          <w:tab/>
        </w:r>
        <w:r>
          <w:rPr>
            <w:webHidden/>
          </w:rPr>
          <w:fldChar w:fldCharType="begin"/>
        </w:r>
        <w:r>
          <w:rPr>
            <w:webHidden/>
          </w:rPr>
          <w:instrText xml:space="preserve"> PAGEREF _Toc223353165 \h </w:instrText>
        </w:r>
        <w:r>
          <w:rPr>
            <w:webHidden/>
          </w:rPr>
        </w:r>
        <w:r>
          <w:rPr>
            <w:webHidden/>
          </w:rPr>
          <w:fldChar w:fldCharType="separate"/>
        </w:r>
        <w:r>
          <w:rPr>
            <w:webHidden/>
          </w:rPr>
          <w:t>4</w:t>
        </w:r>
        <w:r>
          <w:rPr>
            <w:webHidden/>
          </w:rPr>
          <w:fldChar w:fldCharType="end"/>
        </w:r>
      </w:hyperlink>
    </w:p>
    <w:p w14:paraId="7A8C88DD" w14:textId="73372A22" w:rsidR="009248D8" w:rsidRDefault="009248D8">
      <w:pPr>
        <w:pStyle w:val="TOC3"/>
        <w:rPr>
          <w:rFonts w:asciiTheme="minorHAnsi" w:eastAsiaTheme="minorEastAsia" w:hAnsiTheme="minorHAnsi" w:cstheme="minorBidi"/>
          <w:noProof/>
          <w:kern w:val="2"/>
          <w:sz w:val="24"/>
          <w:szCs w:val="24"/>
          <w:lang w:eastAsia="en-AU"/>
          <w14:ligatures w14:val="standardContextual"/>
        </w:rPr>
      </w:pPr>
      <w:hyperlink w:anchor="_Toc223353166" w:history="1">
        <w:r w:rsidRPr="004F03D9">
          <w:rPr>
            <w:rStyle w:val="Hyperlink"/>
            <w:noProof/>
          </w:rPr>
          <w:t>Case study 10</w:t>
        </w:r>
        <w:r>
          <w:rPr>
            <w:noProof/>
            <w:webHidden/>
          </w:rPr>
          <w:tab/>
        </w:r>
        <w:r>
          <w:rPr>
            <w:noProof/>
            <w:webHidden/>
          </w:rPr>
          <w:fldChar w:fldCharType="begin"/>
        </w:r>
        <w:r>
          <w:rPr>
            <w:noProof/>
            <w:webHidden/>
          </w:rPr>
          <w:instrText xml:space="preserve"> PAGEREF _Toc223353166 \h </w:instrText>
        </w:r>
        <w:r>
          <w:rPr>
            <w:noProof/>
            <w:webHidden/>
          </w:rPr>
        </w:r>
        <w:r>
          <w:rPr>
            <w:noProof/>
            <w:webHidden/>
          </w:rPr>
          <w:fldChar w:fldCharType="separate"/>
        </w:r>
        <w:r>
          <w:rPr>
            <w:noProof/>
            <w:webHidden/>
          </w:rPr>
          <w:t>5</w:t>
        </w:r>
        <w:r>
          <w:rPr>
            <w:noProof/>
            <w:webHidden/>
          </w:rPr>
          <w:fldChar w:fldCharType="end"/>
        </w:r>
      </w:hyperlink>
    </w:p>
    <w:p w14:paraId="7C6B6D4F" w14:textId="23860EB7" w:rsidR="009248D8" w:rsidRDefault="009248D8">
      <w:pPr>
        <w:pStyle w:val="TOC3"/>
        <w:rPr>
          <w:rFonts w:asciiTheme="minorHAnsi" w:eastAsiaTheme="minorEastAsia" w:hAnsiTheme="minorHAnsi" w:cstheme="minorBidi"/>
          <w:noProof/>
          <w:kern w:val="2"/>
          <w:sz w:val="24"/>
          <w:szCs w:val="24"/>
          <w:lang w:eastAsia="en-AU"/>
          <w14:ligatures w14:val="standardContextual"/>
        </w:rPr>
      </w:pPr>
      <w:hyperlink w:anchor="_Toc223353167" w:history="1">
        <w:r w:rsidRPr="004F03D9">
          <w:rPr>
            <w:rStyle w:val="Hyperlink"/>
            <w:noProof/>
          </w:rPr>
          <w:t>Case study 11</w:t>
        </w:r>
        <w:r>
          <w:rPr>
            <w:noProof/>
            <w:webHidden/>
          </w:rPr>
          <w:tab/>
        </w:r>
        <w:r>
          <w:rPr>
            <w:noProof/>
            <w:webHidden/>
          </w:rPr>
          <w:fldChar w:fldCharType="begin"/>
        </w:r>
        <w:r>
          <w:rPr>
            <w:noProof/>
            <w:webHidden/>
          </w:rPr>
          <w:instrText xml:space="preserve"> PAGEREF _Toc223353167 \h </w:instrText>
        </w:r>
        <w:r>
          <w:rPr>
            <w:noProof/>
            <w:webHidden/>
          </w:rPr>
        </w:r>
        <w:r>
          <w:rPr>
            <w:noProof/>
            <w:webHidden/>
          </w:rPr>
          <w:fldChar w:fldCharType="separate"/>
        </w:r>
        <w:r>
          <w:rPr>
            <w:noProof/>
            <w:webHidden/>
          </w:rPr>
          <w:t>5</w:t>
        </w:r>
        <w:r>
          <w:rPr>
            <w:noProof/>
            <w:webHidden/>
          </w:rPr>
          <w:fldChar w:fldCharType="end"/>
        </w:r>
      </w:hyperlink>
    </w:p>
    <w:p w14:paraId="623B2D43" w14:textId="404D669C" w:rsidR="007173CA" w:rsidRDefault="002769E3" w:rsidP="002769E3">
      <w:pPr>
        <w:pStyle w:val="Body"/>
      </w:pPr>
      <w:r>
        <w:rPr>
          <w:rFonts w:eastAsia="Times New Roman"/>
          <w:b/>
          <w:noProof/>
        </w:rPr>
        <w:fldChar w:fldCharType="end"/>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0C717B30" w14:textId="576A55D8" w:rsidR="00347B10" w:rsidRPr="00347B10" w:rsidRDefault="00347B10" w:rsidP="00347B10">
      <w:pPr>
        <w:pStyle w:val="Body"/>
      </w:pPr>
      <w:bookmarkStart w:id="0" w:name="_Toc66794860"/>
      <w:r w:rsidRPr="00347B10">
        <w:t xml:space="preserve">The following case studies have been developed to demonstrate how the MMQ Policy would be applied </w:t>
      </w:r>
      <w:r w:rsidR="003860BE">
        <w:t xml:space="preserve">in </w:t>
      </w:r>
      <w:r w:rsidRPr="00347B10">
        <w:t xml:space="preserve">different scenarios. The case studies have been grouped into the four primary components of the MMQ Policy: </w:t>
      </w:r>
    </w:p>
    <w:p w14:paraId="788F95DC" w14:textId="77777777" w:rsidR="00347B10" w:rsidRPr="00347B10" w:rsidRDefault="00347B10" w:rsidP="00347B10">
      <w:pPr>
        <w:pStyle w:val="Bullet1"/>
      </w:pPr>
      <w:r w:rsidRPr="00347B10">
        <w:t>Qualification requirement</w:t>
      </w:r>
    </w:p>
    <w:p w14:paraId="37750651" w14:textId="77777777" w:rsidR="00347B10" w:rsidRPr="00347B10" w:rsidRDefault="00347B10" w:rsidP="00347B10">
      <w:pPr>
        <w:pStyle w:val="Bullet1"/>
      </w:pPr>
      <w:r w:rsidRPr="00347B10">
        <w:t>‘Working towards’ pathway</w:t>
      </w:r>
    </w:p>
    <w:p w14:paraId="1F8032C3" w14:textId="77777777" w:rsidR="00347B10" w:rsidRPr="00347B10" w:rsidRDefault="00347B10" w:rsidP="00347B10">
      <w:pPr>
        <w:pStyle w:val="Bullet1"/>
      </w:pPr>
      <w:r w:rsidRPr="00347B10">
        <w:t>Workforce scope</w:t>
      </w:r>
    </w:p>
    <w:p w14:paraId="14281472" w14:textId="77777777" w:rsidR="00347B10" w:rsidRPr="00347B10" w:rsidRDefault="00347B10" w:rsidP="00347B10">
      <w:pPr>
        <w:pStyle w:val="Bullet1"/>
      </w:pPr>
      <w:r w:rsidRPr="00347B10">
        <w:t>Practitioner exemption</w:t>
      </w:r>
    </w:p>
    <w:p w14:paraId="6E97CFE3" w14:textId="34E6CD0E" w:rsidR="003D7E30" w:rsidRPr="00DA4069" w:rsidRDefault="00202F66" w:rsidP="00DA4069">
      <w:pPr>
        <w:pStyle w:val="Bodyafterbullets"/>
      </w:pPr>
      <w:r w:rsidRPr="00DA4069">
        <w:t>E</w:t>
      </w:r>
      <w:r w:rsidR="00347B10" w:rsidRPr="00DA4069">
        <w:t>ach case study focusses on demonstrating how one of the four MMQ Policy components would be operationalised</w:t>
      </w:r>
      <w:r w:rsidRPr="00DA4069">
        <w:t xml:space="preserve">. </w:t>
      </w:r>
      <w:r w:rsidR="00977FCF" w:rsidRPr="00DA4069">
        <w:t>The</w:t>
      </w:r>
      <w:r w:rsidR="00347B10" w:rsidRPr="00DA4069">
        <w:t xml:space="preserve"> case studies also </w:t>
      </w:r>
      <w:r w:rsidR="00D522C2" w:rsidRPr="00DA4069">
        <w:t>demonstrate how the components</w:t>
      </w:r>
      <w:r w:rsidR="00347B10" w:rsidRPr="00DA4069">
        <w:t xml:space="preserve"> of the MMQ Policy </w:t>
      </w:r>
      <w:r w:rsidR="00D47499" w:rsidRPr="00DA4069">
        <w:t>interact and</w:t>
      </w:r>
      <w:r w:rsidR="00D522C2" w:rsidRPr="00DA4069">
        <w:t xml:space="preserve"> </w:t>
      </w:r>
      <w:r w:rsidR="00347B10" w:rsidRPr="00DA4069">
        <w:t xml:space="preserve">include examples of organisational discretion and decision making within the parameters of the MMQ Policy. </w:t>
      </w:r>
      <w:bookmarkEnd w:id="0"/>
    </w:p>
    <w:p w14:paraId="4AA8134C" w14:textId="77777777" w:rsidR="00347B10" w:rsidRPr="00347B10" w:rsidRDefault="00347B10" w:rsidP="00F12E9D">
      <w:pPr>
        <w:pStyle w:val="Heading1"/>
      </w:pPr>
      <w:bookmarkStart w:id="1" w:name="_Toc223353153"/>
      <w:r w:rsidRPr="00347B10">
        <w:t>Qualification requirement</w:t>
      </w:r>
      <w:bookmarkEnd w:id="1"/>
    </w:p>
    <w:p w14:paraId="07D7E5C6" w14:textId="03F44196" w:rsidR="00347B10" w:rsidRPr="00347B10" w:rsidRDefault="00347B10" w:rsidP="00347B10">
      <w:pPr>
        <w:pStyle w:val="Body"/>
      </w:pPr>
      <w:r w:rsidRPr="00347B10">
        <w:t>The Qualification requirement case studies highlight:</w:t>
      </w:r>
      <w:r w:rsidRPr="00347B10">
        <w:tab/>
      </w:r>
      <w:r w:rsidRPr="00347B10">
        <w:tab/>
      </w:r>
    </w:p>
    <w:p w14:paraId="00969B0D" w14:textId="003A7C12" w:rsidR="00347B10" w:rsidRPr="00347B10" w:rsidRDefault="00347B10" w:rsidP="00347B10">
      <w:pPr>
        <w:pStyle w:val="Bullet1"/>
      </w:pPr>
      <w:r w:rsidRPr="00347B10">
        <w:t>How different qualification</w:t>
      </w:r>
      <w:r w:rsidR="009F1410">
        <w:t>s</w:t>
      </w:r>
      <w:r w:rsidRPr="00347B10">
        <w:t xml:space="preserve"> may meet the minimum qualification requirement</w:t>
      </w:r>
      <w:r>
        <w:t>.</w:t>
      </w:r>
    </w:p>
    <w:p w14:paraId="2CC6E517" w14:textId="1A5D4547" w:rsidR="00347B10" w:rsidRPr="00347B10" w:rsidRDefault="00CF7E99" w:rsidP="00347B10">
      <w:pPr>
        <w:pStyle w:val="Bullet1"/>
      </w:pPr>
      <w:r>
        <w:lastRenderedPageBreak/>
        <w:t>F</w:t>
      </w:r>
      <w:r w:rsidR="00347B10" w:rsidRPr="00347B10">
        <w:t>actors that will impact an organisations decision to hire a candidate beyond the minimum qualification requirement</w:t>
      </w:r>
      <w:r w:rsidR="00347B10">
        <w:t>.</w:t>
      </w:r>
    </w:p>
    <w:p w14:paraId="654F7301" w14:textId="7B4C38A4" w:rsidR="00347B10" w:rsidRPr="00347B10" w:rsidRDefault="00347B10" w:rsidP="00347B10">
      <w:pPr>
        <w:pStyle w:val="Bullet1"/>
      </w:pPr>
      <w:r w:rsidRPr="00347B10">
        <w:t xml:space="preserve">When the minimum qualification requirement should be considered in the recruitment process. </w:t>
      </w:r>
    </w:p>
    <w:p w14:paraId="353BA6C0" w14:textId="01D9A16C" w:rsidR="008A5D60" w:rsidRPr="002769E3" w:rsidRDefault="00347B10" w:rsidP="00F12E9D">
      <w:pPr>
        <w:pStyle w:val="Heading2"/>
      </w:pPr>
      <w:bookmarkStart w:id="2" w:name="_Toc256778633"/>
      <w:bookmarkStart w:id="3" w:name="_Toc223353154"/>
      <w:r w:rsidRPr="002769E3">
        <w:t xml:space="preserve">Case </w:t>
      </w:r>
      <w:r w:rsidR="00D15B1C" w:rsidRPr="002769E3">
        <w:t>s</w:t>
      </w:r>
      <w:r w:rsidRPr="002769E3">
        <w:t>tudy 1</w:t>
      </w:r>
      <w:bookmarkEnd w:id="2"/>
      <w:bookmarkEnd w:id="3"/>
    </w:p>
    <w:p w14:paraId="7FD4352E" w14:textId="77777777" w:rsidR="00347B10" w:rsidRPr="00347B10" w:rsidRDefault="00347B10" w:rsidP="00347B10">
      <w:pPr>
        <w:pStyle w:val="Body"/>
      </w:pPr>
      <w:r w:rsidRPr="00347B10">
        <w:t>Hugh is shortlisting candidates for a men’s family violence case manager position. The role is in scope for the MMQ Policy. Part of the shortlisting process is ensuring the candidates meet the MMQ Policy requirements. The candidates include:</w:t>
      </w:r>
    </w:p>
    <w:p w14:paraId="0B091F8C" w14:textId="77777777" w:rsidR="00347B10" w:rsidRPr="00347B10" w:rsidRDefault="00347B10" w:rsidP="00347B10">
      <w:pPr>
        <w:pStyle w:val="Bullet1"/>
      </w:pPr>
      <w:r w:rsidRPr="00347B10">
        <w:t xml:space="preserve">Marcus, who holds a Bachelor of Criminology with 6 years of relevant professional experience </w:t>
      </w:r>
    </w:p>
    <w:p w14:paraId="780BFED2" w14:textId="77777777" w:rsidR="00347B10" w:rsidRPr="00347B10" w:rsidRDefault="00347B10" w:rsidP="00347B10">
      <w:pPr>
        <w:pStyle w:val="Bullet1"/>
      </w:pPr>
      <w:r w:rsidRPr="00347B10">
        <w:t>Seema, who holds a Diploma of Community Services with 2 years of relevant professional experience</w:t>
      </w:r>
    </w:p>
    <w:p w14:paraId="7F3BAAA2" w14:textId="77777777" w:rsidR="00347B10" w:rsidRPr="00347B10" w:rsidRDefault="00347B10" w:rsidP="00347B10">
      <w:pPr>
        <w:pStyle w:val="Bullet1"/>
      </w:pPr>
      <w:r w:rsidRPr="00347B10">
        <w:t xml:space="preserve">Juan, who holds a Graduate Certificate in Client Assessment and Case Management with 1 year of relevant professional experience </w:t>
      </w:r>
    </w:p>
    <w:p w14:paraId="2F0DFBDE" w14:textId="77777777" w:rsidR="00347B10" w:rsidRPr="00347B10" w:rsidRDefault="00347B10" w:rsidP="00347B10">
      <w:pPr>
        <w:pStyle w:val="Bullet1"/>
      </w:pPr>
      <w:r w:rsidRPr="00347B10">
        <w:t>Sara, who holds a Certificate IV in Youth Work with 6 months of relevant professional experience</w:t>
      </w:r>
    </w:p>
    <w:p w14:paraId="46844698" w14:textId="00058AD1" w:rsidR="00347B10" w:rsidRPr="00347B10" w:rsidRDefault="00347B10" w:rsidP="00347B10">
      <w:pPr>
        <w:pStyle w:val="Bullet1"/>
      </w:pPr>
      <w:r w:rsidRPr="00347B10">
        <w:t>Rika, who holds a Bachelor of Arts (Sociology) with no relevant professional experience</w:t>
      </w:r>
    </w:p>
    <w:p w14:paraId="5B9511FB" w14:textId="77777777" w:rsidR="00347B10" w:rsidRDefault="00347B10" w:rsidP="00DA4069">
      <w:pPr>
        <w:pStyle w:val="Bodyafterbullets"/>
      </w:pPr>
      <w:r w:rsidRPr="00347B10">
        <w:t xml:space="preserve">Hugh assesses the candidates and determines Marcus, Juan and Rika all meet the MMQ Policy qualification requirement, and Seema is eligible for the ‘Working Towards’ pathway. Sara does not meet the MMQ Policy qualification requirement and is not eligible for the ‘Working Towards’ pathway. </w:t>
      </w:r>
    </w:p>
    <w:p w14:paraId="10FA5876" w14:textId="2D24E346" w:rsidR="00D15B1C" w:rsidRDefault="00D15B1C" w:rsidP="00F12E9D">
      <w:pPr>
        <w:pStyle w:val="Heading2"/>
      </w:pPr>
      <w:bookmarkStart w:id="4" w:name="_Toc223353155"/>
      <w:r>
        <w:t>Case study 2</w:t>
      </w:r>
      <w:bookmarkEnd w:id="4"/>
    </w:p>
    <w:p w14:paraId="03EAD53C" w14:textId="77777777" w:rsidR="00D15B1C" w:rsidRPr="00D15B1C" w:rsidRDefault="00D15B1C" w:rsidP="00D15B1C">
      <w:pPr>
        <w:pStyle w:val="Body"/>
      </w:pPr>
      <w:r w:rsidRPr="00D15B1C">
        <w:t xml:space="preserve">Maeve is recruiting to a specialist family violence case manager role within the family violence program in her community services organisation. Maeve shortlists two candidates, Andie and Meg, who she has determined meet the MMQ Policy requirements. </w:t>
      </w:r>
    </w:p>
    <w:p w14:paraId="63030BE7" w14:textId="77777777" w:rsidR="00D15B1C" w:rsidRPr="00D15B1C" w:rsidRDefault="00D15B1C" w:rsidP="00D15B1C">
      <w:pPr>
        <w:pStyle w:val="Body"/>
      </w:pPr>
      <w:r w:rsidRPr="00D15B1C">
        <w:t xml:space="preserve">Andie holds a Diploma of Community Services and a Graduate Certificate in Family Therapy. Andie has worked in the child and family services sector for 2 years and has experience working with families with complex needs, and where family violence is occurring. </w:t>
      </w:r>
    </w:p>
    <w:p w14:paraId="06EC8419" w14:textId="77777777" w:rsidR="00D15B1C" w:rsidRPr="00D15B1C" w:rsidRDefault="00D15B1C" w:rsidP="00D15B1C">
      <w:pPr>
        <w:pStyle w:val="Body"/>
      </w:pPr>
      <w:r w:rsidRPr="00D15B1C">
        <w:t xml:space="preserve">Meg has recently graduated from her Bachelor of Social Work. Her final placement was at a sexual assault and family violence service, where Meg gained experience alongside experienced specialist family violence practitioners. </w:t>
      </w:r>
    </w:p>
    <w:p w14:paraId="3A946B21" w14:textId="77777777" w:rsidR="00D15B1C" w:rsidRPr="00D15B1C" w:rsidRDefault="00D15B1C" w:rsidP="00D15B1C">
      <w:pPr>
        <w:pStyle w:val="Body"/>
      </w:pPr>
      <w:r w:rsidRPr="00D15B1C">
        <w:t xml:space="preserve">Following interviews and reference checks, Maeve offers Andie the specialist family violence case manager role. During her interview Andie drew on her professional and lived experience to demonstrate the key selection criteria and personal attributes required for the role. </w:t>
      </w:r>
    </w:p>
    <w:p w14:paraId="7076E7DC" w14:textId="33A06597" w:rsidR="00D15B1C" w:rsidRPr="00F12E9D" w:rsidRDefault="00D15B1C" w:rsidP="00AC0040">
      <w:pPr>
        <w:pStyle w:val="Heading1"/>
        <w:rPr>
          <w:rStyle w:val="Heading1Char"/>
        </w:rPr>
      </w:pPr>
      <w:bookmarkStart w:id="5" w:name="_Toc223353156"/>
      <w:r>
        <w:t>‘</w:t>
      </w:r>
      <w:r w:rsidRPr="00F12E9D">
        <w:rPr>
          <w:rStyle w:val="Heading1Char"/>
        </w:rPr>
        <w:t>Working towards’ pathway</w:t>
      </w:r>
      <w:bookmarkEnd w:id="5"/>
      <w:r w:rsidRPr="00F12E9D">
        <w:rPr>
          <w:rStyle w:val="Heading1Char"/>
        </w:rPr>
        <w:t xml:space="preserve"> </w:t>
      </w:r>
    </w:p>
    <w:p w14:paraId="644B4602" w14:textId="3A6A143A" w:rsidR="00D15B1C" w:rsidRPr="00D15B1C" w:rsidRDefault="00D15B1C" w:rsidP="00D15B1C">
      <w:pPr>
        <w:pStyle w:val="Body"/>
      </w:pPr>
      <w:r w:rsidRPr="00D15B1C">
        <w:t>The ‘Working towards’ pathway case studies highlight:</w:t>
      </w:r>
    </w:p>
    <w:p w14:paraId="03CAAA3C" w14:textId="0BC19EF4" w:rsidR="00905C83" w:rsidRDefault="00D15B1C" w:rsidP="00D15B1C">
      <w:pPr>
        <w:pStyle w:val="Bullet1"/>
      </w:pPr>
      <w:r w:rsidRPr="00D15B1C">
        <w:t>The requirement</w:t>
      </w:r>
      <w:r w:rsidR="00961B8C">
        <w:t>s</w:t>
      </w:r>
      <w:r w:rsidRPr="00D15B1C">
        <w:t xml:space="preserve"> to access the ‘working towards’ pathway and what can be done when a candidate does not meet </w:t>
      </w:r>
      <w:r w:rsidR="00664A0B">
        <w:t>them.</w:t>
      </w:r>
    </w:p>
    <w:p w14:paraId="6E6C4F4F" w14:textId="3EC6373F" w:rsidR="00D15B1C" w:rsidRPr="00D15B1C" w:rsidRDefault="00D15B1C" w:rsidP="00D15B1C">
      <w:pPr>
        <w:pStyle w:val="Bullet1"/>
      </w:pPr>
      <w:r w:rsidRPr="00D15B1C">
        <w:t>Different circumstances where the ‘working towards’ pathway can be utilised</w:t>
      </w:r>
      <w:r>
        <w:t>.</w:t>
      </w:r>
    </w:p>
    <w:p w14:paraId="0784F5E9" w14:textId="55423577" w:rsidR="00D15B1C" w:rsidRDefault="00D15B1C" w:rsidP="00D15B1C">
      <w:pPr>
        <w:pStyle w:val="Bullet1"/>
      </w:pPr>
      <w:r w:rsidRPr="00D15B1C">
        <w:t>Supports that may be needed as practitioners are ‘working towards’</w:t>
      </w:r>
      <w:r>
        <w:t>.</w:t>
      </w:r>
    </w:p>
    <w:p w14:paraId="4B66827A" w14:textId="5D03389B" w:rsidR="00D15B1C" w:rsidRDefault="00D15B1C" w:rsidP="00F12E9D">
      <w:pPr>
        <w:pStyle w:val="Heading2"/>
      </w:pPr>
      <w:bookmarkStart w:id="6" w:name="_Toc223353157"/>
      <w:r>
        <w:t>Case study 3</w:t>
      </w:r>
      <w:bookmarkEnd w:id="6"/>
    </w:p>
    <w:p w14:paraId="1D7E7709" w14:textId="52323A8E" w:rsidR="00D15B1C" w:rsidRPr="00D15B1C" w:rsidRDefault="00D15B1C" w:rsidP="00D15B1C">
      <w:pPr>
        <w:pStyle w:val="Body"/>
      </w:pPr>
      <w:r w:rsidRPr="00AC0040">
        <w:t>Jamie is an Aboriginal woman who is passionate about working with community and has a strong interest in supporting women and children experiencing family violence. Jam</w:t>
      </w:r>
      <w:r w:rsidR="00284D46" w:rsidRPr="00AC0040">
        <w:t>i</w:t>
      </w:r>
      <w:r w:rsidRPr="00AC0040">
        <w:t xml:space="preserve">e has worked as a </w:t>
      </w:r>
      <w:r w:rsidR="001234D4" w:rsidRPr="00AC0040">
        <w:t>y</w:t>
      </w:r>
      <w:r w:rsidRPr="00AC0040">
        <w:t xml:space="preserve">outh </w:t>
      </w:r>
      <w:r w:rsidR="001234D4" w:rsidRPr="00AC0040">
        <w:t>r</w:t>
      </w:r>
      <w:r w:rsidRPr="00AC0040">
        <w:t xml:space="preserve">esidential </w:t>
      </w:r>
      <w:r w:rsidR="001234D4" w:rsidRPr="00AC0040">
        <w:t>s</w:t>
      </w:r>
      <w:r w:rsidRPr="00AC0040">
        <w:t xml:space="preserve">upport </w:t>
      </w:r>
      <w:r w:rsidR="001234D4" w:rsidRPr="00AC0040">
        <w:t>w</w:t>
      </w:r>
      <w:r w:rsidRPr="00AC0040">
        <w:t xml:space="preserve">orker for 18 months after completing her Certificate IV in Children Youth and Family. ​Jamie contacts her local Aboriginal Community </w:t>
      </w:r>
      <w:r w:rsidRPr="00D15B1C">
        <w:t xml:space="preserve">Controlled Organisation about a specialist family violence position she is </w:t>
      </w:r>
      <w:r w:rsidRPr="00D15B1C">
        <w:lastRenderedPageBreak/>
        <w:t>interested in applying for. The hiring manager advises Jamie she would be suitable for a support worker role where she will work alongside specialist family violence practitioners to gain insights and experience in the functions that a specialist role undertakes. ​</w:t>
      </w:r>
    </w:p>
    <w:p w14:paraId="17A9571C" w14:textId="38BDBAD2" w:rsidR="00D15B1C" w:rsidRPr="00D15B1C" w:rsidRDefault="00D15B1C" w:rsidP="00D15B1C">
      <w:pPr>
        <w:pStyle w:val="Body"/>
      </w:pPr>
      <w:r w:rsidRPr="00D15B1C">
        <w:t>While in her support worker role, Jamie enrols and completes her Diploma in Community Services part time. In her second year in the role, Jamie begins to undertake some specialist family violence role functions, under direct supervision from senior practitioners in her team.​</w:t>
      </w:r>
    </w:p>
    <w:p w14:paraId="567F818C" w14:textId="634E2426" w:rsidR="00D15B1C" w:rsidRPr="00D15B1C" w:rsidRDefault="00D15B1C" w:rsidP="00D15B1C">
      <w:pPr>
        <w:pStyle w:val="Body"/>
      </w:pPr>
      <w:r>
        <w:t xml:space="preserve">After Jamie finishes her Diploma, her organisation offers her a specialist family violence practitioner role on the ‘working towards’ pathway under the MMQ Policy. Jamie’s excellent performance in her support worker role, demonstration of personal attributes needed for the role, </w:t>
      </w:r>
      <w:r w:rsidR="35F61ECF">
        <w:t xml:space="preserve">along with </w:t>
      </w:r>
      <w:r>
        <w:t xml:space="preserve">her deep understanding of Aboriginal culture and values meant she was the preferred candidate for the role. </w:t>
      </w:r>
    </w:p>
    <w:p w14:paraId="7499B06C" w14:textId="6F7B9FCA" w:rsidR="00D15B1C" w:rsidRPr="00D15B1C" w:rsidRDefault="00D15B1C" w:rsidP="00D15B1C">
      <w:pPr>
        <w:pStyle w:val="Body"/>
      </w:pPr>
      <w:r w:rsidRPr="00D15B1C">
        <w:t xml:space="preserve">As part of Jamie’s contract for her new role, there is a condition of employment that requires Jamie to meet the minimum qualification requirement within 10 years of commencing the role. Jamie </w:t>
      </w:r>
      <w:r w:rsidR="00356244" w:rsidRPr="00D15B1C">
        <w:t>enrols</w:t>
      </w:r>
      <w:r w:rsidRPr="00D15B1C">
        <w:t xml:space="preserve"> in a Graduate Certificate in Family Violence which she completes part-time over 1 year. Jamie needs to take a break from study halfway through her Graduate Certificate due to caregiving responsibilities. Jamie recommences study after a 6-month break and completes her Graduate Certificate within 2 years of commencing in her specialist family violence practitioner role.  ​</w:t>
      </w:r>
    </w:p>
    <w:p w14:paraId="7AA1554D" w14:textId="471213E6" w:rsidR="00D15B1C" w:rsidRDefault="00D15B1C" w:rsidP="00D15B1C">
      <w:pPr>
        <w:pStyle w:val="Body"/>
      </w:pPr>
      <w:r w:rsidRPr="00D15B1C">
        <w:t>Jamie’s employer provides additional supervision while Jamie is working towards her qualifications and establishes a mentorship with an experienced specialist family violence practitioner within Jamie’s team.</w:t>
      </w:r>
    </w:p>
    <w:p w14:paraId="5A7E5CB4" w14:textId="1DE0B084" w:rsidR="00D15B1C" w:rsidRDefault="006B6423" w:rsidP="00F12E9D">
      <w:pPr>
        <w:pStyle w:val="Heading2"/>
      </w:pPr>
      <w:bookmarkStart w:id="7" w:name="_Toc223353158"/>
      <w:r>
        <w:t>Case study 4</w:t>
      </w:r>
      <w:bookmarkEnd w:id="7"/>
    </w:p>
    <w:p w14:paraId="68FF057B" w14:textId="1601A58F" w:rsidR="006B6423" w:rsidRPr="006B6423" w:rsidRDefault="006B6423" w:rsidP="006B6423">
      <w:pPr>
        <w:pStyle w:val="Body"/>
      </w:pPr>
      <w:r w:rsidRPr="006B6423">
        <w:t xml:space="preserve">Yanni has worked as an alcohol and other drugs support worker in a community services organisation part-time for 3 years, after completing his Diploma in Alcohol and Other Drugs. Yanni works collaboratively with a local organisation providing men’s family violence services, where he refers some of his clients and seeks secondary consultation. Yanni is keen to move into the family violence sector and is interested in working with people using family violence. </w:t>
      </w:r>
    </w:p>
    <w:p w14:paraId="1A822537" w14:textId="77777777" w:rsidR="006B6423" w:rsidRPr="006B6423" w:rsidRDefault="006B6423" w:rsidP="006B6423">
      <w:pPr>
        <w:pStyle w:val="Body"/>
      </w:pPr>
      <w:r w:rsidRPr="006B6423">
        <w:t xml:space="preserve">Yanni decides to apply for a men’s family violence case manager role. In his interview, he expresses his interest in ‘working towards’ the MMQ Policy requirements by completing a Graduate Certificate. Yanni demonstrates he holds the key competencies and personal attributes required for the role. The organisation hires Yanni and includes a condition of employment in his contract which requires Yanni to meet the MMQ Policy requirements within 10 years. In his first 3 months in the role, Yanni shadows various senior practitioners and undertakes additional supervision. </w:t>
      </w:r>
    </w:p>
    <w:p w14:paraId="742F2499" w14:textId="0DDA672E" w:rsidR="006B6423" w:rsidRDefault="006B6423" w:rsidP="006B6423">
      <w:pPr>
        <w:pStyle w:val="Body"/>
      </w:pPr>
      <w:r w:rsidRPr="006B6423">
        <w:t>After 6 months in his men’s family violence case manager role, Yanni enrols in a Graduate Certificate in Family Violence. Yanni completes the qualification in 1 year, taking on a part-time study load.</w:t>
      </w:r>
    </w:p>
    <w:p w14:paraId="3A45762A" w14:textId="4769F19D" w:rsidR="006B6423" w:rsidRPr="006B6423" w:rsidRDefault="006B6423" w:rsidP="00F12E9D">
      <w:pPr>
        <w:pStyle w:val="Heading1"/>
      </w:pPr>
      <w:bookmarkStart w:id="8" w:name="_Toc223353159"/>
      <w:r>
        <w:t>Workforce scope</w:t>
      </w:r>
      <w:bookmarkEnd w:id="8"/>
    </w:p>
    <w:p w14:paraId="0C10168C" w14:textId="254C1FEC" w:rsidR="006B6423" w:rsidRPr="006B6423" w:rsidRDefault="006B6423" w:rsidP="006B6423">
      <w:pPr>
        <w:pStyle w:val="Body"/>
      </w:pPr>
      <w:r w:rsidRPr="006B6423">
        <w:t>The Workforce scope case studies highlight:</w:t>
      </w:r>
      <w:r w:rsidRPr="006B6423">
        <w:tab/>
      </w:r>
      <w:r w:rsidRPr="006B6423">
        <w:tab/>
      </w:r>
    </w:p>
    <w:p w14:paraId="603DA092" w14:textId="77777777" w:rsidR="006B6423" w:rsidRPr="006B6423" w:rsidRDefault="006B6423" w:rsidP="006B6423">
      <w:pPr>
        <w:pStyle w:val="Bullet1"/>
      </w:pPr>
      <w:r w:rsidRPr="006B6423">
        <w:t xml:space="preserve">How the workforce scope is applied to different roles in different settings </w:t>
      </w:r>
    </w:p>
    <w:p w14:paraId="2EDACCAB" w14:textId="3745E538" w:rsidR="003B1BDC" w:rsidRDefault="006B6423" w:rsidP="006B6423">
      <w:pPr>
        <w:pStyle w:val="Bullet1"/>
      </w:pPr>
      <w:r w:rsidRPr="006B6423">
        <w:t>What to consider when determining if a role is within scope of the MMQ Policy.</w:t>
      </w:r>
    </w:p>
    <w:p w14:paraId="21506736" w14:textId="38C26BB0" w:rsidR="006B6423" w:rsidRDefault="006B6423" w:rsidP="00F12E9D">
      <w:pPr>
        <w:pStyle w:val="Heading2"/>
      </w:pPr>
      <w:bookmarkStart w:id="9" w:name="_Toc223353160"/>
      <w:r>
        <w:t>Case study 5</w:t>
      </w:r>
      <w:bookmarkEnd w:id="9"/>
    </w:p>
    <w:p w14:paraId="798FC88C" w14:textId="54F37F82" w:rsidR="0078343D" w:rsidRPr="0078343D" w:rsidRDefault="0078343D" w:rsidP="0078343D">
      <w:pPr>
        <w:pStyle w:val="Body"/>
      </w:pPr>
      <w:r w:rsidRPr="0078343D">
        <w:t xml:space="preserve">Dylan works as an after-hours </w:t>
      </w:r>
      <w:r w:rsidR="00882CED">
        <w:t>f</w:t>
      </w:r>
      <w:r w:rsidR="00882CED" w:rsidRPr="0078343D">
        <w:t xml:space="preserve">amily violence support worker in a </w:t>
      </w:r>
      <w:r w:rsidRPr="0078343D">
        <w:t>crisis accommodation service. Dylan holds MARAM</w:t>
      </w:r>
      <w:r w:rsidR="00F75D9E">
        <w:t xml:space="preserve"> Comprehensive</w:t>
      </w:r>
      <w:r w:rsidRPr="0078343D">
        <w:t xml:space="preserve"> responsibilities, providing after hours response to clients including undertaking risk assessments and safety planning, as needed.  ​</w:t>
      </w:r>
    </w:p>
    <w:p w14:paraId="1C0D9654" w14:textId="77777777" w:rsidR="0078343D" w:rsidRPr="0078343D" w:rsidRDefault="0078343D" w:rsidP="0078343D">
      <w:pPr>
        <w:pStyle w:val="Body"/>
      </w:pPr>
      <w:r w:rsidRPr="0078343D">
        <w:t>Dylan undertakes functions and holds responsibilities outlined in the MMQ Policy Workforce Scope. Dylan’s role is in scope for the MMQ Policy.​</w:t>
      </w:r>
    </w:p>
    <w:p w14:paraId="7056A18E" w14:textId="4A235C48" w:rsidR="0078343D" w:rsidRDefault="0078343D" w:rsidP="00F12E9D">
      <w:pPr>
        <w:pStyle w:val="Heading2"/>
      </w:pPr>
      <w:bookmarkStart w:id="10" w:name="_Toc223353161"/>
      <w:r>
        <w:lastRenderedPageBreak/>
        <w:t>Case study 6</w:t>
      </w:r>
      <w:bookmarkEnd w:id="10"/>
    </w:p>
    <w:p w14:paraId="504CC48B" w14:textId="06C08E45" w:rsidR="0078343D" w:rsidRPr="0078343D" w:rsidRDefault="0078343D" w:rsidP="0078343D">
      <w:pPr>
        <w:pStyle w:val="Body"/>
      </w:pPr>
      <w:r w:rsidRPr="0078343D">
        <w:t xml:space="preserve">Rayna works as </w:t>
      </w:r>
      <w:r w:rsidR="00351835" w:rsidRPr="0078343D">
        <w:t>a family violence support worker i</w:t>
      </w:r>
      <w:r w:rsidRPr="0078343D">
        <w:t>n a family violence refuge working a rotating roster which includes overnight shifts. Rayna’s primary tasks include providing practical support to clients, assisting with coordination and access to additional services and supports for clients, and undertaking administrative and operational tasks relating to client accommodation. Rayna does not hold any case management responsibilities for clients and contacts the on-call specialist practitioner when a critical situation emerges for clients staying at the refuge after hours.</w:t>
      </w:r>
    </w:p>
    <w:p w14:paraId="62A46E3C" w14:textId="2C1CF2E5" w:rsidR="006B6423" w:rsidRDefault="0078343D" w:rsidP="0078343D">
      <w:pPr>
        <w:pStyle w:val="Body"/>
      </w:pPr>
      <w:r w:rsidRPr="0078343D">
        <w:t>Rayna does not undertake any functions or hold the responsibilities outlined in the MMQ Policy Workforce Scope. Rayna’s role is out of scope for the MMQ Policy​.</w:t>
      </w:r>
    </w:p>
    <w:p w14:paraId="6942FFF6" w14:textId="02128504" w:rsidR="0078343D" w:rsidRDefault="0078343D" w:rsidP="00F12E9D">
      <w:pPr>
        <w:pStyle w:val="Heading2"/>
      </w:pPr>
      <w:bookmarkStart w:id="11" w:name="_Toc223353162"/>
      <w:r>
        <w:t>Case study 7</w:t>
      </w:r>
      <w:bookmarkEnd w:id="11"/>
    </w:p>
    <w:p w14:paraId="4BC302C8" w14:textId="6FD41FB5" w:rsidR="0078343D" w:rsidRPr="0078343D" w:rsidRDefault="0078343D" w:rsidP="0078343D">
      <w:pPr>
        <w:pStyle w:val="Body"/>
      </w:pPr>
      <w:r>
        <w:t>Shuling is a family services case manager at a community services organisation, where she supports families who are experiencing high levels of stress and challenges that impact on parenting, family life and children’s well-being. In Shuling’s role, she often works with families experiencing family violence</w:t>
      </w:r>
      <w:r w:rsidR="79160DA3">
        <w:t>,</w:t>
      </w:r>
      <w:r w:rsidR="00153A84">
        <w:t xml:space="preserve"> </w:t>
      </w:r>
      <w:r>
        <w:t>hold</w:t>
      </w:r>
      <w:r w:rsidR="00153A84">
        <w:t>ing</w:t>
      </w:r>
      <w:r>
        <w:t xml:space="preserve"> MARAM Intermediate responsibility. Shuling refers clients to the family violence program within her organisation and works in collaboration with the specialists to address family violence. </w:t>
      </w:r>
    </w:p>
    <w:p w14:paraId="134E8887" w14:textId="77777777" w:rsidR="0078343D" w:rsidRPr="0078343D" w:rsidRDefault="0078343D" w:rsidP="0078343D">
      <w:pPr>
        <w:pStyle w:val="Body"/>
      </w:pPr>
      <w:r w:rsidRPr="0078343D">
        <w:t>Shuling does not undertake any functions or hold responsibilities outlined in the MMQ Policy Workforce Scope. Shuling’s role is out of scope for the MMQ Policy.</w:t>
      </w:r>
    </w:p>
    <w:p w14:paraId="4A7E4466" w14:textId="3FB8B1C3" w:rsidR="0078343D" w:rsidRDefault="0078343D" w:rsidP="00F12E9D">
      <w:pPr>
        <w:pStyle w:val="Heading2"/>
      </w:pPr>
      <w:bookmarkStart w:id="12" w:name="_Toc223353163"/>
      <w:r>
        <w:t>Case study 8</w:t>
      </w:r>
      <w:bookmarkEnd w:id="12"/>
      <w:r>
        <w:t xml:space="preserve"> </w:t>
      </w:r>
    </w:p>
    <w:p w14:paraId="46D85CAA" w14:textId="0D888C62" w:rsidR="0078343D" w:rsidRPr="0078343D" w:rsidRDefault="0078343D" w:rsidP="0078343D">
      <w:pPr>
        <w:pStyle w:val="Body"/>
      </w:pPr>
      <w:r w:rsidRPr="0078343D">
        <w:t>Lorna works as a specialist family violence advisor in the mental health and wellbeing program at a regional health service. Lorna supports family violence capability and capacity building for staff in the mental health and wellbeing program, provides secondary consultations and family violence practice leadership, and advises on assessing clients at high risk and/or complex presentations.</w:t>
      </w:r>
    </w:p>
    <w:p w14:paraId="6F115041" w14:textId="7567B361" w:rsidR="0078343D" w:rsidRPr="0078343D" w:rsidRDefault="0078343D" w:rsidP="0078343D">
      <w:pPr>
        <w:pStyle w:val="Body"/>
      </w:pPr>
      <w:r w:rsidRPr="0078343D">
        <w:t>Lorna undertakes functions and holds responsibilities outlined in the MMQ Policy Workforce Scope. Lorna’s role is in scope for the MMQ Policy.​</w:t>
      </w:r>
    </w:p>
    <w:p w14:paraId="187B51E5" w14:textId="68046267" w:rsidR="006B6423" w:rsidRDefault="0078343D" w:rsidP="00F12E9D">
      <w:pPr>
        <w:pStyle w:val="Heading2"/>
      </w:pPr>
      <w:bookmarkStart w:id="13" w:name="_Toc223353164"/>
      <w:r>
        <w:t>Case study 9</w:t>
      </w:r>
      <w:bookmarkEnd w:id="13"/>
      <w:r>
        <w:t xml:space="preserve"> </w:t>
      </w:r>
    </w:p>
    <w:p w14:paraId="06640E00" w14:textId="72C13A2E" w:rsidR="0078343D" w:rsidRPr="0078343D" w:rsidRDefault="0078343D" w:rsidP="0078343D">
      <w:pPr>
        <w:pStyle w:val="Body"/>
      </w:pPr>
      <w:r>
        <w:t xml:space="preserve">Biljana works as an operations manager at a community services organisation, overseeing </w:t>
      </w:r>
      <w:r w:rsidR="00351835">
        <w:t>the youth and family homelessness, family violence, and family services program areas</w:t>
      </w:r>
      <w:r>
        <w:t>. Biljana's responsibilities include</w:t>
      </w:r>
      <w:r w:rsidR="58E57A87">
        <w:t>:</w:t>
      </w:r>
    </w:p>
    <w:p w14:paraId="409858E7" w14:textId="10F70E71" w:rsidR="0078343D" w:rsidRPr="0078343D" w:rsidRDefault="0078343D" w:rsidP="75B2DF19">
      <w:pPr>
        <w:pStyle w:val="Bullet1"/>
      </w:pPr>
      <w:r>
        <w:t xml:space="preserve">providing support and direction to </w:t>
      </w:r>
      <w:r w:rsidR="62276E11">
        <w:t>p</w:t>
      </w:r>
      <w:r w:rsidR="00270E68">
        <w:t xml:space="preserve">rogram </w:t>
      </w:r>
      <w:r w:rsidR="2982AE8E">
        <w:t>l</w:t>
      </w:r>
      <w:r w:rsidR="00270E68">
        <w:t>eads</w:t>
      </w:r>
      <w:r w:rsidR="40665823">
        <w:t xml:space="preserve"> to ensure operational performance and quality management in line with organisational </w:t>
      </w:r>
      <w:r w:rsidR="522A0DEF">
        <w:t>policies and procedures</w:t>
      </w:r>
    </w:p>
    <w:p w14:paraId="7199749E" w14:textId="0D4E9D48" w:rsidR="0078343D" w:rsidRPr="0078343D" w:rsidRDefault="0078343D" w:rsidP="75B2DF19">
      <w:pPr>
        <w:pStyle w:val="Bullet1"/>
      </w:pPr>
      <w:r>
        <w:t xml:space="preserve">overseeing the operational </w:t>
      </w:r>
      <w:r w:rsidR="2D72FD79">
        <w:t xml:space="preserve">and quality assurance </w:t>
      </w:r>
      <w:r>
        <w:t>aspects of</w:t>
      </w:r>
      <w:r w:rsidR="23200B40">
        <w:t xml:space="preserve"> service</w:t>
      </w:r>
      <w:r w:rsidR="306494F4">
        <w:t xml:space="preserve"> delivery issues,</w:t>
      </w:r>
      <w:r>
        <w:t> case management responses</w:t>
      </w:r>
      <w:r w:rsidR="7F0BCA2C">
        <w:t xml:space="preserve"> and critical incident responses</w:t>
      </w:r>
      <w:r>
        <w:t xml:space="preserve"> </w:t>
      </w:r>
    </w:p>
    <w:p w14:paraId="63EB83EE" w14:textId="25F2B9F7" w:rsidR="0078343D" w:rsidRPr="0078343D" w:rsidRDefault="5B27DD4C" w:rsidP="75B2DF19">
      <w:pPr>
        <w:pStyle w:val="Bullet1"/>
      </w:pPr>
      <w:r>
        <w:t>d</w:t>
      </w:r>
      <w:r w:rsidR="7ADBF218">
        <w:t>eveloping, managing, and maintaining sustainable workforce plans</w:t>
      </w:r>
    </w:p>
    <w:p w14:paraId="04F213FA" w14:textId="2120173A" w:rsidR="0078343D" w:rsidRPr="0078343D" w:rsidRDefault="0078343D" w:rsidP="75B2DF19">
      <w:pPr>
        <w:pStyle w:val="Bullet1"/>
      </w:pPr>
      <w:r>
        <w:t xml:space="preserve">developing, implementing, and reviewing operational procedures and guidelines. </w:t>
      </w:r>
    </w:p>
    <w:p w14:paraId="4581175D" w14:textId="584730A0" w:rsidR="0078343D" w:rsidRPr="0078343D" w:rsidRDefault="0078343D" w:rsidP="00DA4069">
      <w:pPr>
        <w:pStyle w:val="Bodyafterbullets"/>
      </w:pPr>
      <w:r>
        <w:t>When the responsible</w:t>
      </w:r>
      <w:r w:rsidR="12B967C7">
        <w:t xml:space="preserve"> program</w:t>
      </w:r>
      <w:r>
        <w:t xml:space="preserve"> and practice leads are not available due to unexpected leave or rostering issues, Biljana may provide basic </w:t>
      </w:r>
      <w:r w:rsidR="00B120AD">
        <w:t>case management</w:t>
      </w:r>
      <w:r>
        <w:t xml:space="preserve"> advice to the specialist family violence response practitioners. </w:t>
      </w:r>
    </w:p>
    <w:p w14:paraId="2E515D64" w14:textId="046A1E8F" w:rsidR="0078343D" w:rsidRDefault="0078343D" w:rsidP="0078343D">
      <w:pPr>
        <w:pStyle w:val="Body"/>
      </w:pPr>
      <w:r w:rsidRPr="0078343D">
        <w:t>Biljana does not undertake any functions or hold responsibilities outlined in the MMQ Policy Workforce Scope. Biljana’s role is out of scope for the MMQ Policy.</w:t>
      </w:r>
    </w:p>
    <w:p w14:paraId="02EA31DD" w14:textId="75D950E9" w:rsidR="0078343D" w:rsidRDefault="0078343D" w:rsidP="00F12E9D">
      <w:pPr>
        <w:pStyle w:val="Heading1"/>
      </w:pPr>
      <w:bookmarkStart w:id="14" w:name="_Toc223353165"/>
      <w:r>
        <w:t>Practitioner exemption</w:t>
      </w:r>
      <w:bookmarkEnd w:id="14"/>
    </w:p>
    <w:p w14:paraId="746141F5" w14:textId="489667B7" w:rsidR="0078343D" w:rsidRPr="0078343D" w:rsidRDefault="0078343D" w:rsidP="0078343D">
      <w:pPr>
        <w:pStyle w:val="Body"/>
      </w:pPr>
      <w:r w:rsidRPr="0078343D">
        <w:t>The Practitioner exemption case studies highlight:</w:t>
      </w:r>
    </w:p>
    <w:p w14:paraId="522C5913" w14:textId="77777777" w:rsidR="0078343D" w:rsidRPr="0078343D" w:rsidRDefault="0078343D" w:rsidP="0078343D">
      <w:pPr>
        <w:pStyle w:val="Bullet1"/>
      </w:pPr>
      <w:r w:rsidRPr="0078343D">
        <w:lastRenderedPageBreak/>
        <w:t>When exempt practitioners need a ‘return to practice’ agreement in place and what this may look like</w:t>
      </w:r>
    </w:p>
    <w:p w14:paraId="0A621E86" w14:textId="77777777" w:rsidR="0078343D" w:rsidRPr="0078343D" w:rsidRDefault="0078343D" w:rsidP="0078343D">
      <w:pPr>
        <w:pStyle w:val="Bullet1"/>
      </w:pPr>
      <w:r w:rsidRPr="0078343D">
        <w:t>What type of work may mean an exempt practitioner has maintained their practice knowledge and skills</w:t>
      </w:r>
    </w:p>
    <w:p w14:paraId="40040860" w14:textId="7139AE61" w:rsidR="0078343D" w:rsidRPr="0078343D" w:rsidRDefault="0078343D" w:rsidP="0078343D">
      <w:pPr>
        <w:pStyle w:val="Bullet1"/>
      </w:pPr>
      <w:r w:rsidRPr="0078343D">
        <w:t xml:space="preserve">The need to maintain contemporary practice skills and knowledge regardless of exemption status.  </w:t>
      </w:r>
    </w:p>
    <w:p w14:paraId="00C19F49" w14:textId="26E077F6" w:rsidR="006B6423" w:rsidRDefault="0078343D" w:rsidP="00F12E9D">
      <w:pPr>
        <w:pStyle w:val="Heading2"/>
      </w:pPr>
      <w:bookmarkStart w:id="15" w:name="_Toc223353166"/>
      <w:r>
        <w:t>Case study 10</w:t>
      </w:r>
      <w:bookmarkEnd w:id="15"/>
    </w:p>
    <w:p w14:paraId="29344C94" w14:textId="77777777" w:rsidR="0078343D" w:rsidRPr="0078343D" w:rsidRDefault="0078343D" w:rsidP="0078343D">
      <w:pPr>
        <w:pStyle w:val="Body"/>
      </w:pPr>
      <w:r w:rsidRPr="0078343D">
        <w:t>Orli has over 10 years' experience working in the family violence sector. Orli completed her Diploma in 2014 and started working as a family violence case manager in 2015. In 2022, Orli took a break from practice to complete her Cert IV in Training and Assessment and began work as a family violence trainer. After working as a trainer for 3 years, Orli decides she would like to return to practice.</w:t>
      </w:r>
    </w:p>
    <w:p w14:paraId="566A90B9" w14:textId="42602A00" w:rsidR="0078343D" w:rsidRPr="0078343D" w:rsidRDefault="0078343D" w:rsidP="0078343D">
      <w:pPr>
        <w:pStyle w:val="Body"/>
      </w:pPr>
      <w:r w:rsidRPr="0078343D">
        <w:t>When applying for specialist family violence response roles, Orli notes in her cover letter that she has an exemption from the MMQ Policy qualification requirement, as she was employed in a specialist role prior to 2021. She has also maintained her specialised knowledge and skills through her work as a family violence trainer. Orli provides professional references that can verify her previous employment and exemption status. Under the MMQ Policy, Orli does not need a</w:t>
      </w:r>
      <w:r w:rsidR="00BF4D1A">
        <w:t xml:space="preserve"> R</w:t>
      </w:r>
      <w:r w:rsidRPr="0078343D">
        <w:t xml:space="preserve">eturn to </w:t>
      </w:r>
      <w:r w:rsidR="00BF4D1A">
        <w:t>P</w:t>
      </w:r>
      <w:r w:rsidRPr="0078343D">
        <w:t xml:space="preserve">ractice </w:t>
      </w:r>
      <w:r w:rsidR="00842F74">
        <w:t>A</w:t>
      </w:r>
      <w:r w:rsidRPr="0078343D">
        <w:t xml:space="preserve">greement in place. Orli draws on her significant professional experience as a practitioner and a trainer in her interviews and is successful in securing a new family violence case manager role. </w:t>
      </w:r>
    </w:p>
    <w:p w14:paraId="6278432B" w14:textId="2A8DB051" w:rsidR="0078343D" w:rsidRPr="0078343D" w:rsidRDefault="559522FE" w:rsidP="0078343D">
      <w:pPr>
        <w:pStyle w:val="Body"/>
      </w:pPr>
      <w:r>
        <w:t xml:space="preserve">Although a formal Return to Practice Agreement is not needed, </w:t>
      </w:r>
      <w:r w:rsidR="7E79963E">
        <w:t>d</w:t>
      </w:r>
      <w:r w:rsidR="0078343D">
        <w:t>uring Orli’s induction and orientation, her organisation uses the Responding to Family Violence Capability Framework to identify any gaps in Orli’s skills and knowledge. Orli and her line manager agree that</w:t>
      </w:r>
      <w:r w:rsidR="708E6132">
        <w:t xml:space="preserve">, while </w:t>
      </w:r>
      <w:r w:rsidR="00711A9E">
        <w:t xml:space="preserve">her </w:t>
      </w:r>
      <w:r w:rsidR="708E6132">
        <w:t xml:space="preserve">MARAM </w:t>
      </w:r>
      <w:r w:rsidR="00F75D9E">
        <w:t>C</w:t>
      </w:r>
      <w:r w:rsidR="708E6132">
        <w:t xml:space="preserve">omprehensive skills are up to date from </w:t>
      </w:r>
      <w:r w:rsidR="00711A9E">
        <w:t xml:space="preserve">her </w:t>
      </w:r>
      <w:r w:rsidR="708E6132">
        <w:t>training role,</w:t>
      </w:r>
      <w:r w:rsidR="0078343D">
        <w:t xml:space="preserve"> it would be beneficial for Orli to </w:t>
      </w:r>
      <w:r w:rsidR="28E510ED">
        <w:t xml:space="preserve">find a course that addresses the intersection between family violence and the law, as there have been legislative changes since Orli was last practicing. </w:t>
      </w:r>
    </w:p>
    <w:p w14:paraId="5A841C47" w14:textId="14209161" w:rsidR="006B6423" w:rsidRDefault="0078343D" w:rsidP="00F12E9D">
      <w:pPr>
        <w:pStyle w:val="Heading2"/>
      </w:pPr>
      <w:bookmarkStart w:id="16" w:name="_Toc223353167"/>
      <w:r>
        <w:t>Case study 11</w:t>
      </w:r>
      <w:bookmarkEnd w:id="16"/>
    </w:p>
    <w:p w14:paraId="26652646" w14:textId="77777777" w:rsidR="0078343D" w:rsidRPr="0078343D" w:rsidRDefault="0078343D" w:rsidP="0078343D">
      <w:pPr>
        <w:pStyle w:val="Body"/>
      </w:pPr>
      <w:r w:rsidRPr="0078343D">
        <w:t xml:space="preserve">Divya has over 15 years' experience working as a specialist family violence practitioner in regional Victoria. Divya holds a Diploma of Community Services and has undertaken a range of non-accredited training and short courses related to family violence practice. In 2019, Divya took a 6-year career break so she could care for her grandchildren. </w:t>
      </w:r>
    </w:p>
    <w:p w14:paraId="117A2366" w14:textId="77777777" w:rsidR="0078343D" w:rsidRPr="0078343D" w:rsidRDefault="0078343D" w:rsidP="0078343D">
      <w:pPr>
        <w:pStyle w:val="Body"/>
      </w:pPr>
      <w:r w:rsidRPr="0078343D">
        <w:t xml:space="preserve">Divya decides she wants to return to specialist family violence practice. She has heard that the MMQ Policy provides an exemption for anyone who was employed in a specialist family violence response role prior to 1 July 2021. Divya contacts a specialist family violence organisation who is currently recruiting for a senior practitioner role and has a discussion with the hiring manager about her suitability for the role. </w:t>
      </w:r>
    </w:p>
    <w:p w14:paraId="15ACBCF9" w14:textId="77777777" w:rsidR="0078343D" w:rsidRPr="0078343D" w:rsidRDefault="0078343D" w:rsidP="0078343D">
      <w:pPr>
        <w:pStyle w:val="Body"/>
      </w:pPr>
      <w:r w:rsidRPr="0078343D">
        <w:t xml:space="preserve">The hiring manager offers Divya an interview. During the interview, the hiring manager explains that if Divya is successful, she would need to be hired on a ‘return to practice’ agreement as she has had a break from practice of more than 2 years. The hiring manager decides Divya is the most suitable candidate for the role and offers her the position and develops an individualised ‘return to practice’ agreement prior to Divya starting. </w:t>
      </w:r>
    </w:p>
    <w:p w14:paraId="05D34BD2" w14:textId="1EDA69C9" w:rsidR="0078343D" w:rsidRPr="0078343D" w:rsidRDefault="0078343D" w:rsidP="0078343D">
      <w:pPr>
        <w:pStyle w:val="Body"/>
      </w:pPr>
      <w:r w:rsidRPr="0078343D">
        <w:t>Before Divya sees any clients, she undertakes MARAM Comprehensive training as part of her ‘return to practice’ agreement. Divya and her manager also agree that Divya will also have additional supervision sessions for her first 3 months in the role, and will undertake training on intersectional practice, trauma-informed care and cultural safety to refresh her practice knowledge and skills. Divya also joins a community of practice in her local area that focuses on collaborative practice.</w:t>
      </w:r>
    </w:p>
    <w:p w14:paraId="25BB6DB3" w14:textId="77777777" w:rsidR="006B6423" w:rsidRPr="003B1BDC" w:rsidRDefault="006B6423" w:rsidP="006B6423">
      <w:pPr>
        <w:pStyle w:val="Bullet1"/>
        <w:numPr>
          <w:ilvl w:val="0"/>
          <w:numId w:val="0"/>
        </w:numPr>
        <w:ind w:left="284" w:hanging="284"/>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55119B" w14:paraId="696A6191" w14:textId="77777777" w:rsidTr="001B1A98">
        <w:tc>
          <w:tcPr>
            <w:tcW w:w="10194" w:type="dxa"/>
          </w:tcPr>
          <w:p w14:paraId="0E6F66FD" w14:textId="77777777" w:rsidR="00FA7835" w:rsidRPr="00FA7835" w:rsidRDefault="001B1A98" w:rsidP="00FA7835">
            <w:pPr>
              <w:pStyle w:val="Accessibilitypara"/>
            </w:pPr>
            <w:bookmarkStart w:id="17" w:name="_Hlk37240926"/>
            <w:r w:rsidRPr="00E3298A">
              <w:t>To receive this document in another format,</w:t>
            </w:r>
            <w:r>
              <w:t xml:space="preserve"> </w:t>
            </w:r>
            <w:r w:rsidR="00FA7835" w:rsidRPr="00FA7835">
              <w:t xml:space="preserve">email the Centre for Workforce Excellence, </w:t>
            </w:r>
            <w:hyperlink r:id="rId16" w:history="1">
              <w:r w:rsidR="00FA7835" w:rsidRPr="00FA7835">
                <w:rPr>
                  <w:rStyle w:val="Hyperlink"/>
                </w:rPr>
                <w:t>cwe@dffh.vic.gov.au</w:t>
              </w:r>
            </w:hyperlink>
            <w:r w:rsidR="00FA7835" w:rsidRPr="00FA7835">
              <w:t xml:space="preserve"> </w:t>
            </w:r>
          </w:p>
          <w:p w14:paraId="316B05E7" w14:textId="77777777" w:rsidR="001B1A98" w:rsidRDefault="001B1A98" w:rsidP="001B1A98">
            <w:pPr>
              <w:pStyle w:val="Imprint"/>
            </w:pPr>
            <w:r w:rsidRPr="0055119B">
              <w:t>Authorised and published by the Victorian Government, 1 Treasury Place, Melbourne.</w:t>
            </w:r>
          </w:p>
          <w:p w14:paraId="10B058D3" w14:textId="2CD70BBD" w:rsidR="001B1A98" w:rsidRDefault="001B1A98" w:rsidP="001B1A98">
            <w:pPr>
              <w:pStyle w:val="Imprint"/>
            </w:pPr>
            <w:r w:rsidRPr="0055119B">
              <w:lastRenderedPageBreak/>
              <w:t xml:space="preserve">© State of Victoria, Australia, Department </w:t>
            </w:r>
            <w:r w:rsidRPr="001B058F">
              <w:t xml:space="preserve">of </w:t>
            </w:r>
            <w:r>
              <w:t>Families, Fairness and Hou</w:t>
            </w:r>
            <w:r w:rsidRPr="00201E61">
              <w:t xml:space="preserve">sing, </w:t>
            </w:r>
            <w:r w:rsidR="00201E61" w:rsidRPr="00201E61">
              <w:t>March 2026</w:t>
            </w:r>
            <w:r w:rsidRPr="00201E61">
              <w:t>.</w:t>
            </w:r>
          </w:p>
          <w:p w14:paraId="72A947EA" w14:textId="5AB1537C" w:rsidR="00EF08AE" w:rsidRPr="00EF08AE" w:rsidRDefault="00EF08AE" w:rsidP="00EF08AE">
            <w:pPr>
              <w:pStyle w:val="Imprint"/>
              <w:rPr>
                <w:color w:val="87189D"/>
              </w:rPr>
            </w:pPr>
            <w:r w:rsidRPr="00EF08AE">
              <w:rPr>
                <w:noProof/>
                <w:color w:val="87189D"/>
              </w:rPr>
              <w:drawing>
                <wp:inline distT="0" distB="0" distL="0" distR="0" wp14:anchorId="411F8E77" wp14:editId="0BFF42C6">
                  <wp:extent cx="1225550" cy="425450"/>
                  <wp:effectExtent l="0" t="0" r="0" b="0"/>
                  <wp:docPr id="1167401888" name="Picture 2" descr="Description: CC (Creative commons)_b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5550" cy="425450"/>
                          </a:xfrm>
                          <a:prstGeom prst="rect">
                            <a:avLst/>
                          </a:prstGeom>
                          <a:noFill/>
                          <a:ln>
                            <a:noFill/>
                          </a:ln>
                        </pic:spPr>
                      </pic:pic>
                    </a:graphicData>
                  </a:graphic>
                </wp:inline>
              </w:drawing>
            </w:r>
          </w:p>
          <w:p w14:paraId="6338D04B" w14:textId="77777777" w:rsidR="00EF08AE" w:rsidRPr="00EF08AE" w:rsidRDefault="00EF08AE" w:rsidP="00EF08AE">
            <w:pPr>
              <w:pStyle w:val="Imprint"/>
            </w:pPr>
            <w:proofErr w:type="gramStart"/>
            <w:r w:rsidRPr="00EF08AE">
              <w:t>With the exception of</w:t>
            </w:r>
            <w:proofErr w:type="gramEnd"/>
            <w:r w:rsidRPr="00EF08AE">
              <w:t xml:space="preserve"> any images, photographs or branding (including, but not limited to the Victorian Coat of Arms, the Victorian Government logo or the Department of Families, Fairness and Housing logo), this work, Mandatory Minimum Qualifications Policy, is licensed under a Creative Commons Attribution 4.0 licence.</w:t>
            </w:r>
          </w:p>
          <w:p w14:paraId="159BC9DB" w14:textId="77777777" w:rsidR="00EF08AE" w:rsidRPr="00EF08AE" w:rsidRDefault="00EF08AE" w:rsidP="00EF08AE">
            <w:pPr>
              <w:pStyle w:val="Imprint"/>
            </w:pPr>
            <w:r w:rsidRPr="00EF08AE">
              <w:t xml:space="preserve">The terms and conditions of this licence, including disclaimer of warranties and limitation of liability are available at </w:t>
            </w:r>
            <w:hyperlink r:id="rId19" w:history="1">
              <w:r w:rsidRPr="00EF08AE">
                <w:rPr>
                  <w:rStyle w:val="Hyperlink"/>
                </w:rPr>
                <w:t xml:space="preserve">Creative Commons Attribution 4.0 International Public License </w:t>
              </w:r>
            </w:hyperlink>
            <w:r w:rsidRPr="00EF08AE">
              <w:t>https://creativecommons.org/licenses/by/4.0/.</w:t>
            </w:r>
          </w:p>
          <w:p w14:paraId="42ADD05C" w14:textId="6347675C" w:rsidR="007D7BC1" w:rsidRPr="00EF08AE" w:rsidRDefault="00EF08AE" w:rsidP="001B1A98">
            <w:pPr>
              <w:pStyle w:val="Imprint"/>
            </w:pPr>
            <w:r w:rsidRPr="00EF08AE">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453758E0" w14:textId="77777777" w:rsidR="000A2299" w:rsidRDefault="000A2299" w:rsidP="00EF08AE">
            <w:pPr>
              <w:pStyle w:val="Imprint"/>
            </w:pPr>
            <w:r w:rsidRPr="000A2299">
              <w:t>In this document, we may use the terms ‘First Peoples’, ‘First Nations’ or ‘Aboriginal people’. This includes all Aboriginal and Torres Strait Islander peoples living in Victoria. We retain ‘Indigenous’ or ‘Koori/Koorie’ when part of a title, program or quote.</w:t>
            </w:r>
          </w:p>
          <w:p w14:paraId="77488886" w14:textId="77777777" w:rsidR="00733BD2" w:rsidRDefault="00733BD2" w:rsidP="00EF08AE">
            <w:pPr>
              <w:pStyle w:val="Imprint"/>
              <w:rPr>
                <w:b/>
                <w:bCs/>
              </w:rPr>
            </w:pPr>
            <w:r w:rsidRPr="00733BD2">
              <w:rPr>
                <w:b/>
                <w:bCs/>
              </w:rPr>
              <w:t xml:space="preserve">ISBN </w:t>
            </w:r>
            <w:r w:rsidRPr="00733BD2">
              <w:t>978-1-76171-062-9 (</w:t>
            </w:r>
            <w:r w:rsidRPr="00733BD2">
              <w:rPr>
                <w:b/>
                <w:bCs/>
              </w:rPr>
              <w:t>pdf/online/MS word)</w:t>
            </w:r>
          </w:p>
          <w:p w14:paraId="0C92739F" w14:textId="4BD64CAE" w:rsidR="0055119B" w:rsidRDefault="001B1A98" w:rsidP="00EF08AE">
            <w:pPr>
              <w:pStyle w:val="Imprint"/>
            </w:pPr>
            <w:r w:rsidRPr="0055119B">
              <w:t xml:space="preserve">Available at </w:t>
            </w:r>
            <w:r w:rsidRPr="00E33237">
              <w:t xml:space="preserve">insert </w:t>
            </w:r>
            <w:hyperlink r:id="rId20" w:history="1">
              <w:r w:rsidR="006B64FF" w:rsidRPr="006B64FF">
                <w:rPr>
                  <w:rStyle w:val="Hyperlink"/>
                </w:rPr>
                <w:t>Mandatory minimum qualifications for specialist family violence response roles</w:t>
              </w:r>
            </w:hyperlink>
            <w:r w:rsidR="006B64FF" w:rsidRPr="006B64FF">
              <w:rPr>
                <w:color w:val="87189D"/>
              </w:rPr>
              <w:t xml:space="preserve"> </w:t>
            </w:r>
            <w:r w:rsidR="006B64FF" w:rsidRPr="006B64FF">
              <w:t>https://www.vic.gov.au/mandatory-minimum-qualifications-specialist-family-violence-practitioners</w:t>
            </w:r>
          </w:p>
        </w:tc>
      </w:tr>
      <w:bookmarkEnd w:id="17"/>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BC9C" w14:textId="77777777" w:rsidR="006A28B0" w:rsidRDefault="006A28B0">
      <w:r>
        <w:separator/>
      </w:r>
    </w:p>
    <w:p w14:paraId="038675E1" w14:textId="77777777" w:rsidR="006A28B0" w:rsidRDefault="006A28B0"/>
  </w:endnote>
  <w:endnote w:type="continuationSeparator" w:id="0">
    <w:p w14:paraId="35700D01" w14:textId="77777777" w:rsidR="006A28B0" w:rsidRDefault="006A28B0">
      <w:r>
        <w:continuationSeparator/>
      </w:r>
    </w:p>
    <w:p w14:paraId="26AFA725" w14:textId="77777777" w:rsidR="006A28B0" w:rsidRDefault="006A28B0"/>
  </w:endnote>
  <w:endnote w:type="continuationNotice" w:id="1">
    <w:p w14:paraId="530AAB0D" w14:textId="77777777" w:rsidR="006A28B0" w:rsidRDefault="006A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2D39" w14:textId="77777777" w:rsidR="006A28B0" w:rsidRDefault="006A28B0" w:rsidP="00207717">
      <w:pPr>
        <w:spacing w:before="120"/>
      </w:pPr>
      <w:r>
        <w:separator/>
      </w:r>
    </w:p>
  </w:footnote>
  <w:footnote w:type="continuationSeparator" w:id="0">
    <w:p w14:paraId="51F71719" w14:textId="77777777" w:rsidR="006A28B0" w:rsidRDefault="006A28B0">
      <w:r>
        <w:continuationSeparator/>
      </w:r>
    </w:p>
    <w:p w14:paraId="0F3E053C" w14:textId="77777777" w:rsidR="006A28B0" w:rsidRDefault="006A28B0"/>
  </w:footnote>
  <w:footnote w:type="continuationNotice" w:id="1">
    <w:p w14:paraId="252BD9EA" w14:textId="77777777" w:rsidR="006A28B0" w:rsidRDefault="006A28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B92E6AD" w:rsidR="00E261B3" w:rsidRPr="0051568D" w:rsidRDefault="00347B10" w:rsidP="0017674D">
    <w:pPr>
      <w:pStyle w:val="Header"/>
    </w:pPr>
    <w:r>
      <w:t xml:space="preserve">Mandatory Minimum Qualifications Policy - Case studies </w:t>
    </w:r>
    <w:r w:rsidR="00AC0040">
      <w:t>to support</w:t>
    </w:r>
    <w:r>
      <w:t xml:space="preserve"> implementation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F13339"/>
    <w:multiLevelType w:val="hybridMultilevel"/>
    <w:tmpl w:val="9CF29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BC2B0A"/>
    <w:multiLevelType w:val="hybridMultilevel"/>
    <w:tmpl w:val="B82E5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0E5C8E"/>
    <w:multiLevelType w:val="hybridMultilevel"/>
    <w:tmpl w:val="AADC2876"/>
    <w:lvl w:ilvl="0" w:tplc="A6DA6692">
      <w:start w:val="1"/>
      <w:numFmt w:val="bullet"/>
      <w:lvlText w:val="-"/>
      <w:lvlJc w:val="left"/>
      <w:pPr>
        <w:ind w:left="720" w:hanging="360"/>
      </w:pPr>
      <w:rPr>
        <w:rFonts w:ascii="Aptos" w:hAnsi="Aptos" w:hint="default"/>
      </w:rPr>
    </w:lvl>
    <w:lvl w:ilvl="1" w:tplc="79262DEE">
      <w:start w:val="1"/>
      <w:numFmt w:val="bullet"/>
      <w:lvlText w:val="o"/>
      <w:lvlJc w:val="left"/>
      <w:pPr>
        <w:ind w:left="1440" w:hanging="360"/>
      </w:pPr>
      <w:rPr>
        <w:rFonts w:ascii="Courier New" w:hAnsi="Courier New" w:hint="default"/>
      </w:rPr>
    </w:lvl>
    <w:lvl w:ilvl="2" w:tplc="62CCA650">
      <w:start w:val="1"/>
      <w:numFmt w:val="bullet"/>
      <w:lvlText w:val=""/>
      <w:lvlJc w:val="left"/>
      <w:pPr>
        <w:ind w:left="2160" w:hanging="360"/>
      </w:pPr>
      <w:rPr>
        <w:rFonts w:ascii="Wingdings" w:hAnsi="Wingdings" w:hint="default"/>
      </w:rPr>
    </w:lvl>
    <w:lvl w:ilvl="3" w:tplc="ECC24CCA">
      <w:start w:val="1"/>
      <w:numFmt w:val="bullet"/>
      <w:lvlText w:val=""/>
      <w:lvlJc w:val="left"/>
      <w:pPr>
        <w:ind w:left="2880" w:hanging="360"/>
      </w:pPr>
      <w:rPr>
        <w:rFonts w:ascii="Symbol" w:hAnsi="Symbol" w:hint="default"/>
      </w:rPr>
    </w:lvl>
    <w:lvl w:ilvl="4" w:tplc="3A76199C">
      <w:start w:val="1"/>
      <w:numFmt w:val="bullet"/>
      <w:lvlText w:val="o"/>
      <w:lvlJc w:val="left"/>
      <w:pPr>
        <w:ind w:left="3600" w:hanging="360"/>
      </w:pPr>
      <w:rPr>
        <w:rFonts w:ascii="Courier New" w:hAnsi="Courier New" w:hint="default"/>
      </w:rPr>
    </w:lvl>
    <w:lvl w:ilvl="5" w:tplc="FC82CBE4">
      <w:start w:val="1"/>
      <w:numFmt w:val="bullet"/>
      <w:lvlText w:val=""/>
      <w:lvlJc w:val="left"/>
      <w:pPr>
        <w:ind w:left="4320" w:hanging="360"/>
      </w:pPr>
      <w:rPr>
        <w:rFonts w:ascii="Wingdings" w:hAnsi="Wingdings" w:hint="default"/>
      </w:rPr>
    </w:lvl>
    <w:lvl w:ilvl="6" w:tplc="7D886D6A">
      <w:start w:val="1"/>
      <w:numFmt w:val="bullet"/>
      <w:lvlText w:val=""/>
      <w:lvlJc w:val="left"/>
      <w:pPr>
        <w:ind w:left="5040" w:hanging="360"/>
      </w:pPr>
      <w:rPr>
        <w:rFonts w:ascii="Symbol" w:hAnsi="Symbol" w:hint="default"/>
      </w:rPr>
    </w:lvl>
    <w:lvl w:ilvl="7" w:tplc="FF52786C">
      <w:start w:val="1"/>
      <w:numFmt w:val="bullet"/>
      <w:lvlText w:val="o"/>
      <w:lvlJc w:val="left"/>
      <w:pPr>
        <w:ind w:left="5760" w:hanging="360"/>
      </w:pPr>
      <w:rPr>
        <w:rFonts w:ascii="Courier New" w:hAnsi="Courier New" w:hint="default"/>
      </w:rPr>
    </w:lvl>
    <w:lvl w:ilvl="8" w:tplc="473C557C">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B513FE5"/>
    <w:multiLevelType w:val="hybridMultilevel"/>
    <w:tmpl w:val="EC32EC8E"/>
    <w:lvl w:ilvl="0" w:tplc="A0986EF2">
      <w:start w:val="1"/>
      <w:numFmt w:val="bullet"/>
      <w:lvlText w:val="•"/>
      <w:lvlJc w:val="left"/>
      <w:pPr>
        <w:tabs>
          <w:tab w:val="num" w:pos="720"/>
        </w:tabs>
        <w:ind w:left="720" w:hanging="360"/>
      </w:pPr>
      <w:rPr>
        <w:rFonts w:ascii="Arial" w:hAnsi="Arial" w:hint="default"/>
      </w:rPr>
    </w:lvl>
    <w:lvl w:ilvl="1" w:tplc="93D0F756" w:tentative="1">
      <w:start w:val="1"/>
      <w:numFmt w:val="bullet"/>
      <w:lvlText w:val="•"/>
      <w:lvlJc w:val="left"/>
      <w:pPr>
        <w:tabs>
          <w:tab w:val="num" w:pos="1440"/>
        </w:tabs>
        <w:ind w:left="1440" w:hanging="360"/>
      </w:pPr>
      <w:rPr>
        <w:rFonts w:ascii="Arial" w:hAnsi="Arial" w:hint="default"/>
      </w:rPr>
    </w:lvl>
    <w:lvl w:ilvl="2" w:tplc="550619D4">
      <w:start w:val="1"/>
      <w:numFmt w:val="bullet"/>
      <w:lvlText w:val="•"/>
      <w:lvlJc w:val="left"/>
      <w:pPr>
        <w:tabs>
          <w:tab w:val="num" w:pos="2160"/>
        </w:tabs>
        <w:ind w:left="2160" w:hanging="360"/>
      </w:pPr>
      <w:rPr>
        <w:rFonts w:ascii="Arial" w:hAnsi="Arial" w:hint="default"/>
      </w:rPr>
    </w:lvl>
    <w:lvl w:ilvl="3" w:tplc="34B2ED5A" w:tentative="1">
      <w:start w:val="1"/>
      <w:numFmt w:val="bullet"/>
      <w:lvlText w:val="•"/>
      <w:lvlJc w:val="left"/>
      <w:pPr>
        <w:tabs>
          <w:tab w:val="num" w:pos="2880"/>
        </w:tabs>
        <w:ind w:left="2880" w:hanging="360"/>
      </w:pPr>
      <w:rPr>
        <w:rFonts w:ascii="Arial" w:hAnsi="Arial" w:hint="default"/>
      </w:rPr>
    </w:lvl>
    <w:lvl w:ilvl="4" w:tplc="52CA9C92" w:tentative="1">
      <w:start w:val="1"/>
      <w:numFmt w:val="bullet"/>
      <w:lvlText w:val="•"/>
      <w:lvlJc w:val="left"/>
      <w:pPr>
        <w:tabs>
          <w:tab w:val="num" w:pos="3600"/>
        </w:tabs>
        <w:ind w:left="3600" w:hanging="360"/>
      </w:pPr>
      <w:rPr>
        <w:rFonts w:ascii="Arial" w:hAnsi="Arial" w:hint="default"/>
      </w:rPr>
    </w:lvl>
    <w:lvl w:ilvl="5" w:tplc="14229BBE" w:tentative="1">
      <w:start w:val="1"/>
      <w:numFmt w:val="bullet"/>
      <w:lvlText w:val="•"/>
      <w:lvlJc w:val="left"/>
      <w:pPr>
        <w:tabs>
          <w:tab w:val="num" w:pos="4320"/>
        </w:tabs>
        <w:ind w:left="4320" w:hanging="360"/>
      </w:pPr>
      <w:rPr>
        <w:rFonts w:ascii="Arial" w:hAnsi="Arial" w:hint="default"/>
      </w:rPr>
    </w:lvl>
    <w:lvl w:ilvl="6" w:tplc="2EDE81E8" w:tentative="1">
      <w:start w:val="1"/>
      <w:numFmt w:val="bullet"/>
      <w:lvlText w:val="•"/>
      <w:lvlJc w:val="left"/>
      <w:pPr>
        <w:tabs>
          <w:tab w:val="num" w:pos="5040"/>
        </w:tabs>
        <w:ind w:left="5040" w:hanging="360"/>
      </w:pPr>
      <w:rPr>
        <w:rFonts w:ascii="Arial" w:hAnsi="Arial" w:hint="default"/>
      </w:rPr>
    </w:lvl>
    <w:lvl w:ilvl="7" w:tplc="0B5AC926" w:tentative="1">
      <w:start w:val="1"/>
      <w:numFmt w:val="bullet"/>
      <w:lvlText w:val="•"/>
      <w:lvlJc w:val="left"/>
      <w:pPr>
        <w:tabs>
          <w:tab w:val="num" w:pos="5760"/>
        </w:tabs>
        <w:ind w:left="5760" w:hanging="360"/>
      </w:pPr>
      <w:rPr>
        <w:rFonts w:ascii="Arial" w:hAnsi="Arial" w:hint="default"/>
      </w:rPr>
    </w:lvl>
    <w:lvl w:ilvl="8" w:tplc="3150190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1363371">
    <w:abstractNumId w:val="26"/>
  </w:num>
  <w:num w:numId="2" w16cid:durableId="159278872">
    <w:abstractNumId w:val="10"/>
  </w:num>
  <w:num w:numId="3" w16cid:durableId="1589266887">
    <w:abstractNumId w:val="19"/>
  </w:num>
  <w:num w:numId="4"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5156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1045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5910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2994873">
    <w:abstractNumId w:val="23"/>
  </w:num>
  <w:num w:numId="9" w16cid:durableId="1978801422">
    <w:abstractNumId w:val="18"/>
  </w:num>
  <w:num w:numId="10" w16cid:durableId="2113083680">
    <w:abstractNumId w:val="22"/>
  </w:num>
  <w:num w:numId="11" w16cid:durableId="1670714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2838369">
    <w:abstractNumId w:val="24"/>
  </w:num>
  <w:num w:numId="13" w16cid:durableId="19670001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2003522">
    <w:abstractNumId w:val="20"/>
  </w:num>
  <w:num w:numId="15" w16cid:durableId="13197708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3993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468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8370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4958747">
    <w:abstractNumId w:val="27"/>
  </w:num>
  <w:num w:numId="20" w16cid:durableId="12383244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6567688">
    <w:abstractNumId w:val="14"/>
  </w:num>
  <w:num w:numId="22" w16cid:durableId="1616980506">
    <w:abstractNumId w:val="12"/>
  </w:num>
  <w:num w:numId="23"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0324230">
    <w:abstractNumId w:val="15"/>
  </w:num>
  <w:num w:numId="25" w16cid:durableId="869493609">
    <w:abstractNumId w:val="29"/>
  </w:num>
  <w:num w:numId="26" w16cid:durableId="1679652250">
    <w:abstractNumId w:val="25"/>
  </w:num>
  <w:num w:numId="27" w16cid:durableId="1435905434">
    <w:abstractNumId w:val="21"/>
  </w:num>
  <w:num w:numId="28" w16cid:durableId="1999532308">
    <w:abstractNumId w:val="11"/>
  </w:num>
  <w:num w:numId="29" w16cid:durableId="753430641">
    <w:abstractNumId w:val="30"/>
  </w:num>
  <w:num w:numId="30" w16cid:durableId="1238975494">
    <w:abstractNumId w:val="9"/>
  </w:num>
  <w:num w:numId="31" w16cid:durableId="1551847124">
    <w:abstractNumId w:val="7"/>
  </w:num>
  <w:num w:numId="32" w16cid:durableId="830565956">
    <w:abstractNumId w:val="6"/>
  </w:num>
  <w:num w:numId="33" w16cid:durableId="1638102877">
    <w:abstractNumId w:val="5"/>
  </w:num>
  <w:num w:numId="34" w16cid:durableId="806818053">
    <w:abstractNumId w:val="4"/>
  </w:num>
  <w:num w:numId="35" w16cid:durableId="1742436619">
    <w:abstractNumId w:val="8"/>
  </w:num>
  <w:num w:numId="36" w16cid:durableId="2122527886">
    <w:abstractNumId w:val="3"/>
  </w:num>
  <w:num w:numId="37" w16cid:durableId="1540437879">
    <w:abstractNumId w:val="2"/>
  </w:num>
  <w:num w:numId="38" w16cid:durableId="1396321171">
    <w:abstractNumId w:val="1"/>
  </w:num>
  <w:num w:numId="39" w16cid:durableId="1152450698">
    <w:abstractNumId w:val="0"/>
  </w:num>
  <w:num w:numId="40" w16cid:durableId="21154442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7244895">
    <w:abstractNumId w:val="23"/>
  </w:num>
  <w:num w:numId="42" w16cid:durableId="2088839045">
    <w:abstractNumId w:val="23"/>
  </w:num>
  <w:num w:numId="43" w16cid:durableId="1692532892">
    <w:abstractNumId w:val="23"/>
  </w:num>
  <w:num w:numId="44" w16cid:durableId="5060973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2427090">
    <w:abstractNumId w:val="17"/>
  </w:num>
  <w:num w:numId="46" w16cid:durableId="486551435">
    <w:abstractNumId w:val="28"/>
  </w:num>
  <w:num w:numId="47" w16cid:durableId="1719906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34D9"/>
    <w:rsid w:val="000154FD"/>
    <w:rsid w:val="00022271"/>
    <w:rsid w:val="000235E8"/>
    <w:rsid w:val="00024D89"/>
    <w:rsid w:val="000250B6"/>
    <w:rsid w:val="00025972"/>
    <w:rsid w:val="00033D81"/>
    <w:rsid w:val="00037366"/>
    <w:rsid w:val="00041BF0"/>
    <w:rsid w:val="00042C8A"/>
    <w:rsid w:val="0004536B"/>
    <w:rsid w:val="00046B68"/>
    <w:rsid w:val="00047591"/>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771"/>
    <w:rsid w:val="000A0EB9"/>
    <w:rsid w:val="000A186C"/>
    <w:rsid w:val="000A1EA4"/>
    <w:rsid w:val="000A2299"/>
    <w:rsid w:val="000A2476"/>
    <w:rsid w:val="000A641A"/>
    <w:rsid w:val="000B0E5B"/>
    <w:rsid w:val="000B2117"/>
    <w:rsid w:val="000B3EDB"/>
    <w:rsid w:val="000B543D"/>
    <w:rsid w:val="000B55F9"/>
    <w:rsid w:val="000B5BF7"/>
    <w:rsid w:val="000B6BC8"/>
    <w:rsid w:val="000C0303"/>
    <w:rsid w:val="000C42EA"/>
    <w:rsid w:val="000C4546"/>
    <w:rsid w:val="000D1242"/>
    <w:rsid w:val="000D6CA3"/>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0B68"/>
    <w:rsid w:val="001120C5"/>
    <w:rsid w:val="00120BD3"/>
    <w:rsid w:val="00122FEA"/>
    <w:rsid w:val="001232BD"/>
    <w:rsid w:val="001234D4"/>
    <w:rsid w:val="00124ED5"/>
    <w:rsid w:val="001276FA"/>
    <w:rsid w:val="001447B3"/>
    <w:rsid w:val="001479C2"/>
    <w:rsid w:val="00152073"/>
    <w:rsid w:val="00153A84"/>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8799F"/>
    <w:rsid w:val="00190397"/>
    <w:rsid w:val="00192F9D"/>
    <w:rsid w:val="00196EB8"/>
    <w:rsid w:val="00196EFB"/>
    <w:rsid w:val="001979FF"/>
    <w:rsid w:val="00197B17"/>
    <w:rsid w:val="001A1950"/>
    <w:rsid w:val="001A1C54"/>
    <w:rsid w:val="001A202A"/>
    <w:rsid w:val="001A2342"/>
    <w:rsid w:val="001A3ACE"/>
    <w:rsid w:val="001A3E7B"/>
    <w:rsid w:val="001B058F"/>
    <w:rsid w:val="001B1A98"/>
    <w:rsid w:val="001B4E62"/>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1E61"/>
    <w:rsid w:val="00202F66"/>
    <w:rsid w:val="002033B7"/>
    <w:rsid w:val="00206463"/>
    <w:rsid w:val="00206F2F"/>
    <w:rsid w:val="00207717"/>
    <w:rsid w:val="0021053D"/>
    <w:rsid w:val="002106BE"/>
    <w:rsid w:val="00210A92"/>
    <w:rsid w:val="00216C03"/>
    <w:rsid w:val="00220C04"/>
    <w:rsid w:val="0022278D"/>
    <w:rsid w:val="0022701F"/>
    <w:rsid w:val="00227C68"/>
    <w:rsid w:val="00233311"/>
    <w:rsid w:val="002333F5"/>
    <w:rsid w:val="00233724"/>
    <w:rsid w:val="002352C5"/>
    <w:rsid w:val="002365B4"/>
    <w:rsid w:val="00242378"/>
    <w:rsid w:val="002432E1"/>
    <w:rsid w:val="00246207"/>
    <w:rsid w:val="00246C5E"/>
    <w:rsid w:val="0025079B"/>
    <w:rsid w:val="00250960"/>
    <w:rsid w:val="00250DC4"/>
    <w:rsid w:val="00251343"/>
    <w:rsid w:val="002536A4"/>
    <w:rsid w:val="00254F58"/>
    <w:rsid w:val="002620BC"/>
    <w:rsid w:val="00262802"/>
    <w:rsid w:val="00263A90"/>
    <w:rsid w:val="0026408B"/>
    <w:rsid w:val="00267C3E"/>
    <w:rsid w:val="002709BB"/>
    <w:rsid w:val="00270E68"/>
    <w:rsid w:val="0027131C"/>
    <w:rsid w:val="00273BAC"/>
    <w:rsid w:val="002763B3"/>
    <w:rsid w:val="002769E3"/>
    <w:rsid w:val="002802E3"/>
    <w:rsid w:val="00280C4B"/>
    <w:rsid w:val="0028213D"/>
    <w:rsid w:val="002841C4"/>
    <w:rsid w:val="00284D46"/>
    <w:rsid w:val="002862F1"/>
    <w:rsid w:val="00291373"/>
    <w:rsid w:val="0029597D"/>
    <w:rsid w:val="002962C3"/>
    <w:rsid w:val="0029752B"/>
    <w:rsid w:val="0029783A"/>
    <w:rsid w:val="002A0A9C"/>
    <w:rsid w:val="002A483C"/>
    <w:rsid w:val="002B0C7C"/>
    <w:rsid w:val="002B1729"/>
    <w:rsid w:val="002B36C7"/>
    <w:rsid w:val="002B4C8B"/>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2F651A"/>
    <w:rsid w:val="002F6B42"/>
    <w:rsid w:val="00302216"/>
    <w:rsid w:val="00303E53"/>
    <w:rsid w:val="00305CC1"/>
    <w:rsid w:val="00306E5F"/>
    <w:rsid w:val="00307E14"/>
    <w:rsid w:val="00314054"/>
    <w:rsid w:val="00316F27"/>
    <w:rsid w:val="003214F1"/>
    <w:rsid w:val="00322E4B"/>
    <w:rsid w:val="003252EE"/>
    <w:rsid w:val="00327870"/>
    <w:rsid w:val="0033259D"/>
    <w:rsid w:val="00332F85"/>
    <w:rsid w:val="003333D2"/>
    <w:rsid w:val="00337339"/>
    <w:rsid w:val="003406C6"/>
    <w:rsid w:val="003418CC"/>
    <w:rsid w:val="00342706"/>
    <w:rsid w:val="003459BD"/>
    <w:rsid w:val="00347B10"/>
    <w:rsid w:val="00350D38"/>
    <w:rsid w:val="00351405"/>
    <w:rsid w:val="00351835"/>
    <w:rsid w:val="00351B36"/>
    <w:rsid w:val="00356244"/>
    <w:rsid w:val="00357B4E"/>
    <w:rsid w:val="003716FD"/>
    <w:rsid w:val="0037204B"/>
    <w:rsid w:val="003744CF"/>
    <w:rsid w:val="00374717"/>
    <w:rsid w:val="0037676C"/>
    <w:rsid w:val="00377A1A"/>
    <w:rsid w:val="00381043"/>
    <w:rsid w:val="003829E5"/>
    <w:rsid w:val="003860BE"/>
    <w:rsid w:val="00386109"/>
    <w:rsid w:val="00386944"/>
    <w:rsid w:val="003956CC"/>
    <w:rsid w:val="00395C9A"/>
    <w:rsid w:val="003A04E1"/>
    <w:rsid w:val="003A0853"/>
    <w:rsid w:val="003A1352"/>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7CF"/>
    <w:rsid w:val="003D7E30"/>
    <w:rsid w:val="003E375C"/>
    <w:rsid w:val="003E4086"/>
    <w:rsid w:val="003E639E"/>
    <w:rsid w:val="003E71E5"/>
    <w:rsid w:val="003F0445"/>
    <w:rsid w:val="003F0CF0"/>
    <w:rsid w:val="003F14B1"/>
    <w:rsid w:val="003F2B20"/>
    <w:rsid w:val="003F2CA6"/>
    <w:rsid w:val="003F3289"/>
    <w:rsid w:val="003F3C62"/>
    <w:rsid w:val="003F5CB9"/>
    <w:rsid w:val="004013C7"/>
    <w:rsid w:val="00401FCF"/>
    <w:rsid w:val="00406157"/>
    <w:rsid w:val="00406285"/>
    <w:rsid w:val="00412B27"/>
    <w:rsid w:val="004148F9"/>
    <w:rsid w:val="00416EF1"/>
    <w:rsid w:val="0042084E"/>
    <w:rsid w:val="00421EEF"/>
    <w:rsid w:val="00424D65"/>
    <w:rsid w:val="00430393"/>
    <w:rsid w:val="00431806"/>
    <w:rsid w:val="004350F9"/>
    <w:rsid w:val="00437AC5"/>
    <w:rsid w:val="00442C6C"/>
    <w:rsid w:val="00443B31"/>
    <w:rsid w:val="00443CBE"/>
    <w:rsid w:val="00443E8A"/>
    <w:rsid w:val="004441BC"/>
    <w:rsid w:val="004468B4"/>
    <w:rsid w:val="0045230A"/>
    <w:rsid w:val="00454AD0"/>
    <w:rsid w:val="00457337"/>
    <w:rsid w:val="00462E3D"/>
    <w:rsid w:val="0046440A"/>
    <w:rsid w:val="00466E79"/>
    <w:rsid w:val="0046730F"/>
    <w:rsid w:val="00470D7D"/>
    <w:rsid w:val="0047372D"/>
    <w:rsid w:val="00473BA3"/>
    <w:rsid w:val="004743DD"/>
    <w:rsid w:val="00474CEA"/>
    <w:rsid w:val="00475400"/>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2269"/>
    <w:rsid w:val="004F5398"/>
    <w:rsid w:val="004F53A7"/>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0B97"/>
    <w:rsid w:val="00561202"/>
    <w:rsid w:val="00571446"/>
    <w:rsid w:val="00572031"/>
    <w:rsid w:val="00572282"/>
    <w:rsid w:val="00573CE3"/>
    <w:rsid w:val="00576E84"/>
    <w:rsid w:val="00580394"/>
    <w:rsid w:val="005809CD"/>
    <w:rsid w:val="00582B8C"/>
    <w:rsid w:val="0058464B"/>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D08"/>
    <w:rsid w:val="00600443"/>
    <w:rsid w:val="006041AD"/>
    <w:rsid w:val="00605908"/>
    <w:rsid w:val="00607850"/>
    <w:rsid w:val="006105A0"/>
    <w:rsid w:val="0061069B"/>
    <w:rsid w:val="00610D7C"/>
    <w:rsid w:val="00613414"/>
    <w:rsid w:val="00620154"/>
    <w:rsid w:val="0062408D"/>
    <w:rsid w:val="006240CC"/>
    <w:rsid w:val="00624940"/>
    <w:rsid w:val="006254F8"/>
    <w:rsid w:val="00627DA7"/>
    <w:rsid w:val="0063049A"/>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4A0B"/>
    <w:rsid w:val="00667770"/>
    <w:rsid w:val="00670597"/>
    <w:rsid w:val="006706D0"/>
    <w:rsid w:val="00677574"/>
    <w:rsid w:val="00683878"/>
    <w:rsid w:val="0068454C"/>
    <w:rsid w:val="00691B62"/>
    <w:rsid w:val="006933B5"/>
    <w:rsid w:val="00693D14"/>
    <w:rsid w:val="00695A93"/>
    <w:rsid w:val="00696F27"/>
    <w:rsid w:val="006A18C2"/>
    <w:rsid w:val="006A25E1"/>
    <w:rsid w:val="006A28B0"/>
    <w:rsid w:val="006A3383"/>
    <w:rsid w:val="006B077C"/>
    <w:rsid w:val="006B16AF"/>
    <w:rsid w:val="006B5520"/>
    <w:rsid w:val="006B6423"/>
    <w:rsid w:val="006B64FF"/>
    <w:rsid w:val="006B6803"/>
    <w:rsid w:val="006D0F16"/>
    <w:rsid w:val="006D2A3F"/>
    <w:rsid w:val="006D2FBC"/>
    <w:rsid w:val="006E138B"/>
    <w:rsid w:val="006E1867"/>
    <w:rsid w:val="006F0330"/>
    <w:rsid w:val="006F1FDC"/>
    <w:rsid w:val="006F6B8C"/>
    <w:rsid w:val="007013EF"/>
    <w:rsid w:val="007048FF"/>
    <w:rsid w:val="007055BD"/>
    <w:rsid w:val="00711A9E"/>
    <w:rsid w:val="00711EB2"/>
    <w:rsid w:val="007173CA"/>
    <w:rsid w:val="007216AA"/>
    <w:rsid w:val="00721AB5"/>
    <w:rsid w:val="00721CFB"/>
    <w:rsid w:val="00721DEF"/>
    <w:rsid w:val="00724A43"/>
    <w:rsid w:val="00725CFE"/>
    <w:rsid w:val="007273AC"/>
    <w:rsid w:val="00731AD4"/>
    <w:rsid w:val="0073279F"/>
    <w:rsid w:val="00733BD2"/>
    <w:rsid w:val="007346E4"/>
    <w:rsid w:val="00740F22"/>
    <w:rsid w:val="00741977"/>
    <w:rsid w:val="00741CF0"/>
    <w:rsid w:val="00741F1A"/>
    <w:rsid w:val="00743A2C"/>
    <w:rsid w:val="007447DA"/>
    <w:rsid w:val="00744AD9"/>
    <w:rsid w:val="007450F8"/>
    <w:rsid w:val="0074696E"/>
    <w:rsid w:val="00750135"/>
    <w:rsid w:val="00750EC2"/>
    <w:rsid w:val="00752B28"/>
    <w:rsid w:val="007541A9"/>
    <w:rsid w:val="00754800"/>
    <w:rsid w:val="00754E36"/>
    <w:rsid w:val="00763139"/>
    <w:rsid w:val="00766F80"/>
    <w:rsid w:val="00770F37"/>
    <w:rsid w:val="007711A0"/>
    <w:rsid w:val="00772D5E"/>
    <w:rsid w:val="0077463E"/>
    <w:rsid w:val="0077506C"/>
    <w:rsid w:val="00776928"/>
    <w:rsid w:val="00776E0F"/>
    <w:rsid w:val="007774B1"/>
    <w:rsid w:val="00777BE1"/>
    <w:rsid w:val="00780029"/>
    <w:rsid w:val="0078048F"/>
    <w:rsid w:val="007833D8"/>
    <w:rsid w:val="0078343D"/>
    <w:rsid w:val="00785677"/>
    <w:rsid w:val="00786F16"/>
    <w:rsid w:val="007910F1"/>
    <w:rsid w:val="00791BD7"/>
    <w:rsid w:val="007933F7"/>
    <w:rsid w:val="00796E20"/>
    <w:rsid w:val="00797C32"/>
    <w:rsid w:val="007A11E8"/>
    <w:rsid w:val="007B0914"/>
    <w:rsid w:val="007B1374"/>
    <w:rsid w:val="007B19D4"/>
    <w:rsid w:val="007B32E5"/>
    <w:rsid w:val="007B3DB9"/>
    <w:rsid w:val="007B589F"/>
    <w:rsid w:val="007B6186"/>
    <w:rsid w:val="007B73BC"/>
    <w:rsid w:val="007C1838"/>
    <w:rsid w:val="007C20B9"/>
    <w:rsid w:val="007C7301"/>
    <w:rsid w:val="007C7859"/>
    <w:rsid w:val="007C7F28"/>
    <w:rsid w:val="007D0420"/>
    <w:rsid w:val="007D1466"/>
    <w:rsid w:val="007D2BDE"/>
    <w:rsid w:val="007D2FB6"/>
    <w:rsid w:val="007D49EB"/>
    <w:rsid w:val="007D5E1C"/>
    <w:rsid w:val="007D7BC1"/>
    <w:rsid w:val="007E0DE2"/>
    <w:rsid w:val="007E3B98"/>
    <w:rsid w:val="007E417A"/>
    <w:rsid w:val="007F0C24"/>
    <w:rsid w:val="007F31B6"/>
    <w:rsid w:val="007F546C"/>
    <w:rsid w:val="007F625F"/>
    <w:rsid w:val="007F665E"/>
    <w:rsid w:val="00800412"/>
    <w:rsid w:val="00800AF2"/>
    <w:rsid w:val="0080587B"/>
    <w:rsid w:val="00806468"/>
    <w:rsid w:val="008119CA"/>
    <w:rsid w:val="00811BBF"/>
    <w:rsid w:val="008130C4"/>
    <w:rsid w:val="008155F0"/>
    <w:rsid w:val="00816735"/>
    <w:rsid w:val="00820141"/>
    <w:rsid w:val="00820E0C"/>
    <w:rsid w:val="00823275"/>
    <w:rsid w:val="0082366F"/>
    <w:rsid w:val="00824C24"/>
    <w:rsid w:val="008338A2"/>
    <w:rsid w:val="00841AA9"/>
    <w:rsid w:val="00842F74"/>
    <w:rsid w:val="008474FE"/>
    <w:rsid w:val="008519A4"/>
    <w:rsid w:val="0085232E"/>
    <w:rsid w:val="00853EE4"/>
    <w:rsid w:val="00855535"/>
    <w:rsid w:val="00857C5A"/>
    <w:rsid w:val="0086255E"/>
    <w:rsid w:val="008633F0"/>
    <w:rsid w:val="00866561"/>
    <w:rsid w:val="00866EB5"/>
    <w:rsid w:val="00867D9D"/>
    <w:rsid w:val="00872C54"/>
    <w:rsid w:val="00872E0A"/>
    <w:rsid w:val="00873594"/>
    <w:rsid w:val="00875285"/>
    <w:rsid w:val="00882CED"/>
    <w:rsid w:val="00884B62"/>
    <w:rsid w:val="0088529C"/>
    <w:rsid w:val="00887903"/>
    <w:rsid w:val="0089270A"/>
    <w:rsid w:val="00893AF6"/>
    <w:rsid w:val="00894BC4"/>
    <w:rsid w:val="008952F5"/>
    <w:rsid w:val="008A28A8"/>
    <w:rsid w:val="008A5B32"/>
    <w:rsid w:val="008A5D60"/>
    <w:rsid w:val="008A683F"/>
    <w:rsid w:val="008B2029"/>
    <w:rsid w:val="008B24FD"/>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5C83"/>
    <w:rsid w:val="00906490"/>
    <w:rsid w:val="009111B2"/>
    <w:rsid w:val="009151F5"/>
    <w:rsid w:val="009248D8"/>
    <w:rsid w:val="00924AE1"/>
    <w:rsid w:val="00925637"/>
    <w:rsid w:val="009257ED"/>
    <w:rsid w:val="009269B1"/>
    <w:rsid w:val="0092724D"/>
    <w:rsid w:val="009272B3"/>
    <w:rsid w:val="009315BE"/>
    <w:rsid w:val="0093338F"/>
    <w:rsid w:val="00935B27"/>
    <w:rsid w:val="00937BD9"/>
    <w:rsid w:val="00950E2C"/>
    <w:rsid w:val="00951D50"/>
    <w:rsid w:val="009525EB"/>
    <w:rsid w:val="0095470B"/>
    <w:rsid w:val="00954874"/>
    <w:rsid w:val="00954D01"/>
    <w:rsid w:val="0095615A"/>
    <w:rsid w:val="00961400"/>
    <w:rsid w:val="00961B8C"/>
    <w:rsid w:val="00963646"/>
    <w:rsid w:val="00963AB5"/>
    <w:rsid w:val="0096632D"/>
    <w:rsid w:val="00967124"/>
    <w:rsid w:val="00967335"/>
    <w:rsid w:val="009718C7"/>
    <w:rsid w:val="0097559F"/>
    <w:rsid w:val="009761EA"/>
    <w:rsid w:val="00976A0E"/>
    <w:rsid w:val="0097761E"/>
    <w:rsid w:val="00977FCF"/>
    <w:rsid w:val="00981104"/>
    <w:rsid w:val="00982454"/>
    <w:rsid w:val="00982CF0"/>
    <w:rsid w:val="009853E1"/>
    <w:rsid w:val="00986E6B"/>
    <w:rsid w:val="00990032"/>
    <w:rsid w:val="00990B19"/>
    <w:rsid w:val="0099153B"/>
    <w:rsid w:val="00991769"/>
    <w:rsid w:val="0099232C"/>
    <w:rsid w:val="00994386"/>
    <w:rsid w:val="00994791"/>
    <w:rsid w:val="009A0328"/>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5F5"/>
    <w:rsid w:val="009E496F"/>
    <w:rsid w:val="009E4B0D"/>
    <w:rsid w:val="009E5250"/>
    <w:rsid w:val="009E7A69"/>
    <w:rsid w:val="009E7F92"/>
    <w:rsid w:val="009F02A3"/>
    <w:rsid w:val="009F1410"/>
    <w:rsid w:val="009F2F27"/>
    <w:rsid w:val="009F34AA"/>
    <w:rsid w:val="009F6BCB"/>
    <w:rsid w:val="009F7B78"/>
    <w:rsid w:val="00A0057A"/>
    <w:rsid w:val="00A02FA1"/>
    <w:rsid w:val="00A04CCE"/>
    <w:rsid w:val="00A07421"/>
    <w:rsid w:val="00A0776B"/>
    <w:rsid w:val="00A10FB9"/>
    <w:rsid w:val="00A11021"/>
    <w:rsid w:val="00A11421"/>
    <w:rsid w:val="00A11FD8"/>
    <w:rsid w:val="00A1389F"/>
    <w:rsid w:val="00A14996"/>
    <w:rsid w:val="00A157B1"/>
    <w:rsid w:val="00A22229"/>
    <w:rsid w:val="00A24442"/>
    <w:rsid w:val="00A252B9"/>
    <w:rsid w:val="00A32577"/>
    <w:rsid w:val="00A330BB"/>
    <w:rsid w:val="00A34ACD"/>
    <w:rsid w:val="00A4464F"/>
    <w:rsid w:val="00A44882"/>
    <w:rsid w:val="00A45125"/>
    <w:rsid w:val="00A513A9"/>
    <w:rsid w:val="00A54715"/>
    <w:rsid w:val="00A6061C"/>
    <w:rsid w:val="00A62D44"/>
    <w:rsid w:val="00A67263"/>
    <w:rsid w:val="00A7161C"/>
    <w:rsid w:val="00A77AA3"/>
    <w:rsid w:val="00A81F58"/>
    <w:rsid w:val="00A8236D"/>
    <w:rsid w:val="00A854EB"/>
    <w:rsid w:val="00A872E5"/>
    <w:rsid w:val="00A91406"/>
    <w:rsid w:val="00A96E65"/>
    <w:rsid w:val="00A96ECE"/>
    <w:rsid w:val="00A97C72"/>
    <w:rsid w:val="00AA310B"/>
    <w:rsid w:val="00AA63D4"/>
    <w:rsid w:val="00AB06E8"/>
    <w:rsid w:val="00AB0FA5"/>
    <w:rsid w:val="00AB1A4F"/>
    <w:rsid w:val="00AB1CD3"/>
    <w:rsid w:val="00AB352F"/>
    <w:rsid w:val="00AC0040"/>
    <w:rsid w:val="00AC274B"/>
    <w:rsid w:val="00AC4764"/>
    <w:rsid w:val="00AC6D36"/>
    <w:rsid w:val="00AD05D0"/>
    <w:rsid w:val="00AD0CBA"/>
    <w:rsid w:val="00AD26E2"/>
    <w:rsid w:val="00AD3C5A"/>
    <w:rsid w:val="00AD784C"/>
    <w:rsid w:val="00AE126A"/>
    <w:rsid w:val="00AE1BAE"/>
    <w:rsid w:val="00AE3005"/>
    <w:rsid w:val="00AE3BD5"/>
    <w:rsid w:val="00AE59A0"/>
    <w:rsid w:val="00AE7145"/>
    <w:rsid w:val="00AF0C57"/>
    <w:rsid w:val="00AF26F3"/>
    <w:rsid w:val="00AF5F04"/>
    <w:rsid w:val="00B00672"/>
    <w:rsid w:val="00B01B4D"/>
    <w:rsid w:val="00B04489"/>
    <w:rsid w:val="00B04FFE"/>
    <w:rsid w:val="00B06571"/>
    <w:rsid w:val="00B068BA"/>
    <w:rsid w:val="00B07217"/>
    <w:rsid w:val="00B120AD"/>
    <w:rsid w:val="00B13851"/>
    <w:rsid w:val="00B13B1C"/>
    <w:rsid w:val="00B14B5F"/>
    <w:rsid w:val="00B21F90"/>
    <w:rsid w:val="00B22291"/>
    <w:rsid w:val="00B23435"/>
    <w:rsid w:val="00B23F9A"/>
    <w:rsid w:val="00B2417B"/>
    <w:rsid w:val="00B24E6F"/>
    <w:rsid w:val="00B26CB5"/>
    <w:rsid w:val="00B2752E"/>
    <w:rsid w:val="00B307CC"/>
    <w:rsid w:val="00B326B7"/>
    <w:rsid w:val="00B3394C"/>
    <w:rsid w:val="00B3437C"/>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4D1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3291"/>
    <w:rsid w:val="00C26588"/>
    <w:rsid w:val="00C27DE9"/>
    <w:rsid w:val="00C31258"/>
    <w:rsid w:val="00C32989"/>
    <w:rsid w:val="00C33388"/>
    <w:rsid w:val="00C35484"/>
    <w:rsid w:val="00C4173A"/>
    <w:rsid w:val="00C41CFF"/>
    <w:rsid w:val="00C45DDD"/>
    <w:rsid w:val="00C47399"/>
    <w:rsid w:val="00C50DED"/>
    <w:rsid w:val="00C510B0"/>
    <w:rsid w:val="00C52217"/>
    <w:rsid w:val="00C56663"/>
    <w:rsid w:val="00C602FF"/>
    <w:rsid w:val="00C61174"/>
    <w:rsid w:val="00C6148F"/>
    <w:rsid w:val="00C621B1"/>
    <w:rsid w:val="00C62F7A"/>
    <w:rsid w:val="00C63B9C"/>
    <w:rsid w:val="00C6682F"/>
    <w:rsid w:val="00C67BF4"/>
    <w:rsid w:val="00C7275E"/>
    <w:rsid w:val="00C74C5D"/>
    <w:rsid w:val="00C8485B"/>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E37AF"/>
    <w:rsid w:val="00CE46C6"/>
    <w:rsid w:val="00CF2F50"/>
    <w:rsid w:val="00CF4148"/>
    <w:rsid w:val="00CF6198"/>
    <w:rsid w:val="00CF7E99"/>
    <w:rsid w:val="00D02919"/>
    <w:rsid w:val="00D04C61"/>
    <w:rsid w:val="00D05B8D"/>
    <w:rsid w:val="00D05B9B"/>
    <w:rsid w:val="00D065A2"/>
    <w:rsid w:val="00D079AA"/>
    <w:rsid w:val="00D07F00"/>
    <w:rsid w:val="00D1130F"/>
    <w:rsid w:val="00D15B1C"/>
    <w:rsid w:val="00D17B72"/>
    <w:rsid w:val="00D3185C"/>
    <w:rsid w:val="00D3205F"/>
    <w:rsid w:val="00D3318E"/>
    <w:rsid w:val="00D33E72"/>
    <w:rsid w:val="00D35BD6"/>
    <w:rsid w:val="00D361B5"/>
    <w:rsid w:val="00D402DB"/>
    <w:rsid w:val="00D411A2"/>
    <w:rsid w:val="00D4606D"/>
    <w:rsid w:val="00D47499"/>
    <w:rsid w:val="00D50B9C"/>
    <w:rsid w:val="00D522C2"/>
    <w:rsid w:val="00D52D73"/>
    <w:rsid w:val="00D52E58"/>
    <w:rsid w:val="00D56B20"/>
    <w:rsid w:val="00D578B3"/>
    <w:rsid w:val="00D618F4"/>
    <w:rsid w:val="00D63B58"/>
    <w:rsid w:val="00D714CC"/>
    <w:rsid w:val="00D75EA7"/>
    <w:rsid w:val="00D81ADF"/>
    <w:rsid w:val="00D81F21"/>
    <w:rsid w:val="00D8423D"/>
    <w:rsid w:val="00D84658"/>
    <w:rsid w:val="00D864F2"/>
    <w:rsid w:val="00D943F8"/>
    <w:rsid w:val="00D94E42"/>
    <w:rsid w:val="00D95470"/>
    <w:rsid w:val="00D96B55"/>
    <w:rsid w:val="00DA2619"/>
    <w:rsid w:val="00DA2E57"/>
    <w:rsid w:val="00DA4069"/>
    <w:rsid w:val="00DA4239"/>
    <w:rsid w:val="00DA65DE"/>
    <w:rsid w:val="00DB0B61"/>
    <w:rsid w:val="00DB1474"/>
    <w:rsid w:val="00DB2962"/>
    <w:rsid w:val="00DB52FB"/>
    <w:rsid w:val="00DB644C"/>
    <w:rsid w:val="00DC013B"/>
    <w:rsid w:val="00DC090B"/>
    <w:rsid w:val="00DC1679"/>
    <w:rsid w:val="00DC219B"/>
    <w:rsid w:val="00DC2CF1"/>
    <w:rsid w:val="00DC3A7C"/>
    <w:rsid w:val="00DC4FCF"/>
    <w:rsid w:val="00DC50E0"/>
    <w:rsid w:val="00DC5174"/>
    <w:rsid w:val="00DC5912"/>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846"/>
    <w:rsid w:val="00E06B75"/>
    <w:rsid w:val="00E11332"/>
    <w:rsid w:val="00E11352"/>
    <w:rsid w:val="00E170DC"/>
    <w:rsid w:val="00E17546"/>
    <w:rsid w:val="00E210B5"/>
    <w:rsid w:val="00E261B3"/>
    <w:rsid w:val="00E26818"/>
    <w:rsid w:val="00E27FFC"/>
    <w:rsid w:val="00E30B15"/>
    <w:rsid w:val="00E33237"/>
    <w:rsid w:val="00E40181"/>
    <w:rsid w:val="00E430D4"/>
    <w:rsid w:val="00E51AC5"/>
    <w:rsid w:val="00E54950"/>
    <w:rsid w:val="00E55FB3"/>
    <w:rsid w:val="00E56A01"/>
    <w:rsid w:val="00E629A1"/>
    <w:rsid w:val="00E6794C"/>
    <w:rsid w:val="00E71591"/>
    <w:rsid w:val="00E71CEB"/>
    <w:rsid w:val="00E7474F"/>
    <w:rsid w:val="00E77901"/>
    <w:rsid w:val="00E80DE3"/>
    <w:rsid w:val="00E82C55"/>
    <w:rsid w:val="00E8787E"/>
    <w:rsid w:val="00E92AC3"/>
    <w:rsid w:val="00EA0D93"/>
    <w:rsid w:val="00EA2F6A"/>
    <w:rsid w:val="00EA6F5F"/>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08AE"/>
    <w:rsid w:val="00EF109B"/>
    <w:rsid w:val="00EF201C"/>
    <w:rsid w:val="00EF2C72"/>
    <w:rsid w:val="00EF36AF"/>
    <w:rsid w:val="00EF55F7"/>
    <w:rsid w:val="00EF59A3"/>
    <w:rsid w:val="00EF6675"/>
    <w:rsid w:val="00F0063D"/>
    <w:rsid w:val="00F00F9C"/>
    <w:rsid w:val="00F01E5F"/>
    <w:rsid w:val="00F024F3"/>
    <w:rsid w:val="00F029DC"/>
    <w:rsid w:val="00F02ABA"/>
    <w:rsid w:val="00F03701"/>
    <w:rsid w:val="00F0437A"/>
    <w:rsid w:val="00F101B8"/>
    <w:rsid w:val="00F10C7D"/>
    <w:rsid w:val="00F11037"/>
    <w:rsid w:val="00F12E9D"/>
    <w:rsid w:val="00F16F1B"/>
    <w:rsid w:val="00F23761"/>
    <w:rsid w:val="00F250A9"/>
    <w:rsid w:val="00F267AF"/>
    <w:rsid w:val="00F30FF4"/>
    <w:rsid w:val="00F3122E"/>
    <w:rsid w:val="00F32368"/>
    <w:rsid w:val="00F331AD"/>
    <w:rsid w:val="00F35287"/>
    <w:rsid w:val="00F40A70"/>
    <w:rsid w:val="00F43A37"/>
    <w:rsid w:val="00F45094"/>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5D9E"/>
    <w:rsid w:val="00F76CAB"/>
    <w:rsid w:val="00F772C6"/>
    <w:rsid w:val="00F77F59"/>
    <w:rsid w:val="00F815B5"/>
    <w:rsid w:val="00F85195"/>
    <w:rsid w:val="00F868E3"/>
    <w:rsid w:val="00F938BA"/>
    <w:rsid w:val="00F972B1"/>
    <w:rsid w:val="00F97919"/>
    <w:rsid w:val="00FA2C46"/>
    <w:rsid w:val="00FA3525"/>
    <w:rsid w:val="00FA5A53"/>
    <w:rsid w:val="00FA7835"/>
    <w:rsid w:val="00FB3501"/>
    <w:rsid w:val="00FB4769"/>
    <w:rsid w:val="00FB4CDA"/>
    <w:rsid w:val="00FB5B4E"/>
    <w:rsid w:val="00FB6481"/>
    <w:rsid w:val="00FB6D36"/>
    <w:rsid w:val="00FC0965"/>
    <w:rsid w:val="00FC0F81"/>
    <w:rsid w:val="00FC10CC"/>
    <w:rsid w:val="00FC252F"/>
    <w:rsid w:val="00FC395C"/>
    <w:rsid w:val="00FC5E8E"/>
    <w:rsid w:val="00FD24F9"/>
    <w:rsid w:val="00FD3766"/>
    <w:rsid w:val="00FD47C4"/>
    <w:rsid w:val="00FE2DCF"/>
    <w:rsid w:val="00FE3FA7"/>
    <w:rsid w:val="00FF2A4E"/>
    <w:rsid w:val="00FF2FCE"/>
    <w:rsid w:val="00FF4F7D"/>
    <w:rsid w:val="00FF6D9D"/>
    <w:rsid w:val="00FF7DD5"/>
    <w:rsid w:val="0355D0BE"/>
    <w:rsid w:val="0899AEBF"/>
    <w:rsid w:val="12B967C7"/>
    <w:rsid w:val="1AFACD42"/>
    <w:rsid w:val="1D84E9D7"/>
    <w:rsid w:val="228543DC"/>
    <w:rsid w:val="23200B40"/>
    <w:rsid w:val="23D649B8"/>
    <w:rsid w:val="28E510ED"/>
    <w:rsid w:val="29575A05"/>
    <w:rsid w:val="2982AE8E"/>
    <w:rsid w:val="2D72FD79"/>
    <w:rsid w:val="306494F4"/>
    <w:rsid w:val="35F61ECF"/>
    <w:rsid w:val="36A1D2B9"/>
    <w:rsid w:val="402D9958"/>
    <w:rsid w:val="40665823"/>
    <w:rsid w:val="472A3A26"/>
    <w:rsid w:val="48EFBA4F"/>
    <w:rsid w:val="49211ED7"/>
    <w:rsid w:val="4F535307"/>
    <w:rsid w:val="522A0DEF"/>
    <w:rsid w:val="559522FE"/>
    <w:rsid w:val="58E57A87"/>
    <w:rsid w:val="5B27DD4C"/>
    <w:rsid w:val="5CF4F9E3"/>
    <w:rsid w:val="5FDC469B"/>
    <w:rsid w:val="62276E11"/>
    <w:rsid w:val="63E519EF"/>
    <w:rsid w:val="6466144A"/>
    <w:rsid w:val="65AEB313"/>
    <w:rsid w:val="69A80F22"/>
    <w:rsid w:val="6D68259B"/>
    <w:rsid w:val="708E6132"/>
    <w:rsid w:val="74EDD717"/>
    <w:rsid w:val="75B2DF19"/>
    <w:rsid w:val="79160DA3"/>
    <w:rsid w:val="7ADBF218"/>
    <w:rsid w:val="7E79963E"/>
    <w:rsid w:val="7F0BCA2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FC34167E-AE1A-4C8B-B7A3-7537926C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0"/>
      </w:numPr>
    </w:pPr>
  </w:style>
  <w:style w:type="numbering" w:customStyle="1" w:styleId="ZZTablebullets">
    <w:name w:val="ZZ Table bullets"/>
    <w:basedOn w:val="NoList"/>
    <w:rsid w:val="00337339"/>
    <w:pPr>
      <w:numPr>
        <w:numId w:val="10"/>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8"/>
      </w:numPr>
    </w:pPr>
  </w:style>
  <w:style w:type="numbering" w:customStyle="1" w:styleId="ZZNumbersdigit">
    <w:name w:val="ZZ Numbers digit"/>
    <w:rsid w:val="003D7E30"/>
    <w:pPr>
      <w:numPr>
        <w:numId w:val="3"/>
      </w:numPr>
    </w:pPr>
  </w:style>
  <w:style w:type="numbering" w:customStyle="1" w:styleId="ZZQuotebullets">
    <w:name w:val="ZZ Quote bullets"/>
    <w:basedOn w:val="ZZNumbersdigit"/>
    <w:rsid w:val="00337339"/>
    <w:pPr>
      <w:numPr>
        <w:numId w:val="12"/>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1"/>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1"/>
      </w:numPr>
    </w:pPr>
  </w:style>
  <w:style w:type="paragraph" w:customStyle="1" w:styleId="Numberlowerroman">
    <w:name w:val="Number lower roman"/>
    <w:basedOn w:val="Body"/>
    <w:uiPriority w:val="3"/>
    <w:rsid w:val="00337339"/>
    <w:pPr>
      <w:numPr>
        <w:numId w:val="14"/>
      </w:numPr>
    </w:pPr>
  </w:style>
  <w:style w:type="paragraph" w:customStyle="1" w:styleId="Numberlowerromanindent">
    <w:name w:val="Number lower roman indent"/>
    <w:basedOn w:val="Body"/>
    <w:uiPriority w:val="3"/>
    <w:rsid w:val="00337339"/>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4"/>
      </w:numPr>
    </w:pPr>
  </w:style>
  <w:style w:type="numbering" w:customStyle="1" w:styleId="ZZNumbersloweralpha">
    <w:name w:val="ZZ Numbers lower alpha"/>
    <w:basedOn w:val="NoList"/>
    <w:rsid w:val="00337339"/>
    <w:pPr>
      <w:numPr>
        <w:numId w:val="21"/>
      </w:numPr>
    </w:pPr>
  </w:style>
  <w:style w:type="paragraph" w:customStyle="1" w:styleId="Quotebullet1">
    <w:name w:val="Quote bullet 1"/>
    <w:basedOn w:val="Quotetext"/>
    <w:rsid w:val="00337339"/>
    <w:pPr>
      <w:numPr>
        <w:numId w:val="12"/>
      </w:numPr>
    </w:pPr>
  </w:style>
  <w:style w:type="paragraph" w:customStyle="1" w:styleId="Quotebullet2">
    <w:name w:val="Quote bullet 2"/>
    <w:basedOn w:val="Quotetext"/>
    <w:rsid w:val="00337339"/>
    <w:pPr>
      <w:numPr>
        <w:ilvl w:val="1"/>
        <w:numId w:val="12"/>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Mention">
    <w:name w:val="Mention"/>
    <w:basedOn w:val="DefaultParagraphFont"/>
    <w:uiPriority w:val="99"/>
    <w:unhideWhenUsed/>
    <w:rsid w:val="0078343D"/>
    <w:rPr>
      <w:color w:val="2B579A"/>
      <w:shd w:val="clear" w:color="auto" w:fill="E1DFDD"/>
    </w:rPr>
  </w:style>
  <w:style w:type="paragraph" w:styleId="TOCHeading">
    <w:name w:val="TOC Heading"/>
    <w:basedOn w:val="Heading1"/>
    <w:next w:val="Normal"/>
    <w:uiPriority w:val="39"/>
    <w:unhideWhenUsed/>
    <w:qFormat/>
    <w:rsid w:val="00356244"/>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yperlink" Target="mailto:cwe@dffh.vic.gov.au" TargetMode="External"/><Relationship Id="rId20" Type="http://schemas.openxmlformats.org/officeDocument/2006/relationships/hyperlink" Target="https://www.vic.gov.au/mandatory-minimum-qualifications-specialist-family-violence-practition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437f487d-0f91-486f-ae93-4f2185dbe8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6231BB740E214DBD5F5CDAD5A53F64" ma:contentTypeVersion="18" ma:contentTypeDescription="Create a new document." ma:contentTypeScope="" ma:versionID="860695fed90a530ea3bef34fcb443d85">
  <xsd:schema xmlns:xsd="http://www.w3.org/2001/XMLSchema" xmlns:xs="http://www.w3.org/2001/XMLSchema" xmlns:p="http://schemas.microsoft.com/office/2006/metadata/properties" xmlns:ns2="437f487d-0f91-486f-ae93-4f2185dbe85f" xmlns:ns3="97887a5f-c278-4b75-b9bf-19a428447426" xmlns:ns4="5ce0f2b5-5be5-4508-bce9-d7011ece0659" targetNamespace="http://schemas.microsoft.com/office/2006/metadata/properties" ma:root="true" ma:fieldsID="eccd2e23ef88c0d501c7d4d82b754bc7" ns2:_="" ns3:_="" ns4:_="">
    <xsd:import namespace="437f487d-0f91-486f-ae93-4f2185dbe85f"/>
    <xsd:import namespace="97887a5f-c278-4b75-b9bf-19a428447426"/>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f487d-0f91-486f-ae93-4f2185dbe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87a5f-c278-4b75-b9bf-19a4284474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736e877-2c53-476c-96cb-030c2500de09}" ma:internalName="TaxCatchAll" ma:showField="CatchAllData" ma:web="97887a5f-c278-4b75-b9bf-19a428447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97887a5f-c278-4b75-b9bf-19a428447426"/>
    <ds:schemaRef ds:uri="http://schemas.microsoft.com/office/infopath/2007/PartnerControls"/>
    <ds:schemaRef ds:uri="http://purl.org/dc/terms/"/>
    <ds:schemaRef ds:uri="http://purl.org/dc/dcmitype/"/>
    <ds:schemaRef ds:uri="5ce0f2b5-5be5-4508-bce9-d7011ece0659"/>
    <ds:schemaRef ds:uri="http://purl.org/dc/elements/1.1/"/>
    <ds:schemaRef ds:uri="http://www.w3.org/XML/1998/namespace"/>
    <ds:schemaRef ds:uri="http://schemas.openxmlformats.org/package/2006/metadata/core-properties"/>
    <ds:schemaRef ds:uri="437f487d-0f91-486f-ae93-4f2185dbe85f"/>
    <ds:schemaRef ds:uri="http://schemas.microsoft.com/office/2006/metadata/properties"/>
  </ds:schemaRefs>
</ds:datastoreItem>
</file>

<file path=customXml/itemProps2.xml><?xml version="1.0" encoding="utf-8"?>
<ds:datastoreItem xmlns:ds="http://schemas.openxmlformats.org/officeDocument/2006/customXml" ds:itemID="{0846C87A-FDBD-4681-915A-73B05DDDA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f487d-0f91-486f-ae93-4f2185dbe85f"/>
    <ds:schemaRef ds:uri="97887a5f-c278-4b75-b9bf-19a42844742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Mandatory Minimum Qualifications Policy - Case Studies </vt:lpstr>
    </vt:vector>
  </TitlesOfParts>
  <Manager/>
  <Company>Victoria State Government, Department of Families, Fairness and Housing</Company>
  <LinksUpToDate>false</LinksUpToDate>
  <CharactersWithSpaces>17486</CharactersWithSpaces>
  <SharedDoc>false</SharedDoc>
  <HyperlinkBase/>
  <HLinks>
    <vt:vector size="120" baseType="variant">
      <vt:variant>
        <vt:i4>5505035</vt:i4>
      </vt:variant>
      <vt:variant>
        <vt:i4>111</vt:i4>
      </vt:variant>
      <vt:variant>
        <vt:i4>0</vt:i4>
      </vt:variant>
      <vt:variant>
        <vt:i4>5</vt:i4>
      </vt:variant>
      <vt:variant>
        <vt:lpwstr>https://www.vic.gov.au/mandatory-minimum-qualifications-specialist-family-violence-practitioners</vt:lpwstr>
      </vt:variant>
      <vt:variant>
        <vt:lpwstr/>
      </vt:variant>
      <vt:variant>
        <vt:i4>5308424</vt:i4>
      </vt:variant>
      <vt:variant>
        <vt:i4>108</vt:i4>
      </vt:variant>
      <vt:variant>
        <vt:i4>0</vt:i4>
      </vt:variant>
      <vt:variant>
        <vt:i4>5</vt:i4>
      </vt:variant>
      <vt:variant>
        <vt:lpwstr>https://creativecommons.org/licenses/by/4.0/</vt:lpwstr>
      </vt:variant>
      <vt:variant>
        <vt:lpwstr/>
      </vt:variant>
      <vt:variant>
        <vt:i4>2359401</vt:i4>
      </vt:variant>
      <vt:variant>
        <vt:i4>105</vt:i4>
      </vt:variant>
      <vt:variant>
        <vt:i4>0</vt:i4>
      </vt:variant>
      <vt:variant>
        <vt:i4>5</vt:i4>
      </vt:variant>
      <vt:variant>
        <vt:lpwstr>https://www.accesshub.gov.au/about-the-nrs</vt:lpwstr>
      </vt:variant>
      <vt:variant>
        <vt:lpwstr/>
      </vt:variant>
      <vt:variant>
        <vt:i4>3866646</vt:i4>
      </vt:variant>
      <vt:variant>
        <vt:i4>102</vt:i4>
      </vt:variant>
      <vt:variant>
        <vt:i4>0</vt:i4>
      </vt:variant>
      <vt:variant>
        <vt:i4>5</vt:i4>
      </vt:variant>
      <vt:variant>
        <vt:lpwstr>mailto:cwe@dffh.vic.gov.au</vt:lpwstr>
      </vt:variant>
      <vt:variant>
        <vt:lpwstr/>
      </vt:variant>
      <vt:variant>
        <vt:i4>1245237</vt:i4>
      </vt:variant>
      <vt:variant>
        <vt:i4>95</vt:i4>
      </vt:variant>
      <vt:variant>
        <vt:i4>0</vt:i4>
      </vt:variant>
      <vt:variant>
        <vt:i4>5</vt:i4>
      </vt:variant>
      <vt:variant>
        <vt:lpwstr/>
      </vt:variant>
      <vt:variant>
        <vt:lpwstr>_Toc223353167</vt:lpwstr>
      </vt:variant>
      <vt:variant>
        <vt:i4>1245237</vt:i4>
      </vt:variant>
      <vt:variant>
        <vt:i4>89</vt:i4>
      </vt:variant>
      <vt:variant>
        <vt:i4>0</vt:i4>
      </vt:variant>
      <vt:variant>
        <vt:i4>5</vt:i4>
      </vt:variant>
      <vt:variant>
        <vt:lpwstr/>
      </vt:variant>
      <vt:variant>
        <vt:lpwstr>_Toc223353166</vt:lpwstr>
      </vt:variant>
      <vt:variant>
        <vt:i4>1245237</vt:i4>
      </vt:variant>
      <vt:variant>
        <vt:i4>83</vt:i4>
      </vt:variant>
      <vt:variant>
        <vt:i4>0</vt:i4>
      </vt:variant>
      <vt:variant>
        <vt:i4>5</vt:i4>
      </vt:variant>
      <vt:variant>
        <vt:lpwstr/>
      </vt:variant>
      <vt:variant>
        <vt:lpwstr>_Toc223353165</vt:lpwstr>
      </vt:variant>
      <vt:variant>
        <vt:i4>1245237</vt:i4>
      </vt:variant>
      <vt:variant>
        <vt:i4>77</vt:i4>
      </vt:variant>
      <vt:variant>
        <vt:i4>0</vt:i4>
      </vt:variant>
      <vt:variant>
        <vt:i4>5</vt:i4>
      </vt:variant>
      <vt:variant>
        <vt:lpwstr/>
      </vt:variant>
      <vt:variant>
        <vt:lpwstr>_Toc223353164</vt:lpwstr>
      </vt:variant>
      <vt:variant>
        <vt:i4>1245237</vt:i4>
      </vt:variant>
      <vt:variant>
        <vt:i4>71</vt:i4>
      </vt:variant>
      <vt:variant>
        <vt:i4>0</vt:i4>
      </vt:variant>
      <vt:variant>
        <vt:i4>5</vt:i4>
      </vt:variant>
      <vt:variant>
        <vt:lpwstr/>
      </vt:variant>
      <vt:variant>
        <vt:lpwstr>_Toc223353163</vt:lpwstr>
      </vt:variant>
      <vt:variant>
        <vt:i4>1245237</vt:i4>
      </vt:variant>
      <vt:variant>
        <vt:i4>65</vt:i4>
      </vt:variant>
      <vt:variant>
        <vt:i4>0</vt:i4>
      </vt:variant>
      <vt:variant>
        <vt:i4>5</vt:i4>
      </vt:variant>
      <vt:variant>
        <vt:lpwstr/>
      </vt:variant>
      <vt:variant>
        <vt:lpwstr>_Toc223353162</vt:lpwstr>
      </vt:variant>
      <vt:variant>
        <vt:i4>1245237</vt:i4>
      </vt:variant>
      <vt:variant>
        <vt:i4>59</vt:i4>
      </vt:variant>
      <vt:variant>
        <vt:i4>0</vt:i4>
      </vt:variant>
      <vt:variant>
        <vt:i4>5</vt:i4>
      </vt:variant>
      <vt:variant>
        <vt:lpwstr/>
      </vt:variant>
      <vt:variant>
        <vt:lpwstr>_Toc223353161</vt:lpwstr>
      </vt:variant>
      <vt:variant>
        <vt:i4>1245237</vt:i4>
      </vt:variant>
      <vt:variant>
        <vt:i4>53</vt:i4>
      </vt:variant>
      <vt:variant>
        <vt:i4>0</vt:i4>
      </vt:variant>
      <vt:variant>
        <vt:i4>5</vt:i4>
      </vt:variant>
      <vt:variant>
        <vt:lpwstr/>
      </vt:variant>
      <vt:variant>
        <vt:lpwstr>_Toc223353160</vt:lpwstr>
      </vt:variant>
      <vt:variant>
        <vt:i4>1048629</vt:i4>
      </vt:variant>
      <vt:variant>
        <vt:i4>47</vt:i4>
      </vt:variant>
      <vt:variant>
        <vt:i4>0</vt:i4>
      </vt:variant>
      <vt:variant>
        <vt:i4>5</vt:i4>
      </vt:variant>
      <vt:variant>
        <vt:lpwstr/>
      </vt:variant>
      <vt:variant>
        <vt:lpwstr>_Toc223353159</vt:lpwstr>
      </vt:variant>
      <vt:variant>
        <vt:i4>1048629</vt:i4>
      </vt:variant>
      <vt:variant>
        <vt:i4>41</vt:i4>
      </vt:variant>
      <vt:variant>
        <vt:i4>0</vt:i4>
      </vt:variant>
      <vt:variant>
        <vt:i4>5</vt:i4>
      </vt:variant>
      <vt:variant>
        <vt:lpwstr/>
      </vt:variant>
      <vt:variant>
        <vt:lpwstr>_Toc223353158</vt:lpwstr>
      </vt:variant>
      <vt:variant>
        <vt:i4>1048629</vt:i4>
      </vt:variant>
      <vt:variant>
        <vt:i4>35</vt:i4>
      </vt:variant>
      <vt:variant>
        <vt:i4>0</vt:i4>
      </vt:variant>
      <vt:variant>
        <vt:i4>5</vt:i4>
      </vt:variant>
      <vt:variant>
        <vt:lpwstr/>
      </vt:variant>
      <vt:variant>
        <vt:lpwstr>_Toc223353157</vt:lpwstr>
      </vt:variant>
      <vt:variant>
        <vt:i4>1048629</vt:i4>
      </vt:variant>
      <vt:variant>
        <vt:i4>29</vt:i4>
      </vt:variant>
      <vt:variant>
        <vt:i4>0</vt:i4>
      </vt:variant>
      <vt:variant>
        <vt:i4>5</vt:i4>
      </vt:variant>
      <vt:variant>
        <vt:lpwstr/>
      </vt:variant>
      <vt:variant>
        <vt:lpwstr>_Toc223353156</vt:lpwstr>
      </vt:variant>
      <vt:variant>
        <vt:i4>1048629</vt:i4>
      </vt:variant>
      <vt:variant>
        <vt:i4>23</vt:i4>
      </vt:variant>
      <vt:variant>
        <vt:i4>0</vt:i4>
      </vt:variant>
      <vt:variant>
        <vt:i4>5</vt:i4>
      </vt:variant>
      <vt:variant>
        <vt:lpwstr/>
      </vt:variant>
      <vt:variant>
        <vt:lpwstr>_Toc223353155</vt:lpwstr>
      </vt:variant>
      <vt:variant>
        <vt:i4>1048629</vt:i4>
      </vt:variant>
      <vt:variant>
        <vt:i4>17</vt:i4>
      </vt:variant>
      <vt:variant>
        <vt:i4>0</vt:i4>
      </vt:variant>
      <vt:variant>
        <vt:i4>5</vt:i4>
      </vt:variant>
      <vt:variant>
        <vt:lpwstr/>
      </vt:variant>
      <vt:variant>
        <vt:lpwstr>_Toc223353154</vt:lpwstr>
      </vt:variant>
      <vt:variant>
        <vt:i4>1048629</vt:i4>
      </vt:variant>
      <vt:variant>
        <vt:i4>11</vt:i4>
      </vt:variant>
      <vt:variant>
        <vt:i4>0</vt:i4>
      </vt:variant>
      <vt:variant>
        <vt:i4>5</vt:i4>
      </vt:variant>
      <vt:variant>
        <vt:lpwstr/>
      </vt:variant>
      <vt:variant>
        <vt:lpwstr>_Toc223353153</vt:lpwstr>
      </vt:variant>
      <vt:variant>
        <vt:i4>1048629</vt:i4>
      </vt:variant>
      <vt:variant>
        <vt:i4>5</vt:i4>
      </vt:variant>
      <vt:variant>
        <vt:i4>0</vt:i4>
      </vt:variant>
      <vt:variant>
        <vt:i4>5</vt:i4>
      </vt:variant>
      <vt:variant>
        <vt:lpwstr/>
      </vt:variant>
      <vt:variant>
        <vt:lpwstr>_Toc223353152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Minimum Qualifications Policy - Case Studies</dc:title>
  <dc:subject>Mandatory Minimum Qualifications Policy - Case Studies</dc:subject>
  <dc:creator>System Reform, Workforce and Engagement</dc:creator>
  <cp:keywords>MMQ Policy case studies, case studies, family violence specialist requirements</cp:keywords>
  <cp:lastModifiedBy>Billy-Jo Farnham-Howell (DFFH)</cp:lastModifiedBy>
  <cp:revision>2</cp:revision>
  <cp:lastPrinted>2021-01-30T00:27:00Z</cp:lastPrinted>
  <dcterms:created xsi:type="dcterms:W3CDTF">2026-03-30T02:20:00Z</dcterms:created>
  <dcterms:modified xsi:type="dcterms:W3CDTF">2026-03-30T02:20:00Z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0x010100916231BB740E214DBD5F5CDAD5A53F64</vt:lpwstr>
  </property>
  <property fmtid="{D5CDD505-2E9C-101B-9397-08002B2CF9AE}" pid="24" name="MediaServiceImageTags">
    <vt:lpwstr/>
  </property>
</Properties>
</file>